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D9" w:rsidRPr="00320AD5" w:rsidRDefault="003915D9" w:rsidP="003915D9">
      <w:pPr>
        <w:pStyle w:val="Titolo3"/>
      </w:pPr>
      <w:bookmarkStart w:id="0" w:name="_Toc410838039"/>
      <w:bookmarkStart w:id="1" w:name="_GoBack"/>
      <w:bookmarkEnd w:id="1"/>
      <w:r>
        <w:t>SUB-ALLEGATO 2.</w:t>
      </w:r>
      <w:r w:rsidRPr="00320AD5">
        <w:t>B</w:t>
      </w:r>
      <w:bookmarkEnd w:id="0"/>
    </w:p>
    <w:p w:rsidR="003915D9" w:rsidRDefault="003915D9" w:rsidP="003915D9">
      <w:pPr>
        <w:jc w:val="center"/>
        <w:rPr>
          <w:rFonts w:cs="Tahoma"/>
          <w:b/>
          <w:szCs w:val="20"/>
          <w:lang w:val="it-IT"/>
        </w:rPr>
      </w:pPr>
    </w:p>
    <w:p w:rsidR="003915D9" w:rsidRPr="00C20EAD" w:rsidRDefault="003915D9" w:rsidP="003915D9">
      <w:pPr>
        <w:jc w:val="center"/>
        <w:rPr>
          <w:rFonts w:cs="Tahoma"/>
          <w:b/>
          <w:szCs w:val="20"/>
          <w:lang w:val="it-IT"/>
        </w:rPr>
      </w:pPr>
      <w:r w:rsidRPr="00C20EAD">
        <w:rPr>
          <w:rFonts w:cs="Tahoma"/>
          <w:b/>
          <w:szCs w:val="20"/>
          <w:lang w:val="it-IT"/>
        </w:rPr>
        <w:t>PROCEDURA PER L’INTRODUZIONE DI ARTICOLI PROIBITI IN AREA STERILE</w:t>
      </w:r>
      <w:r w:rsidR="00A84CF8">
        <w:rPr>
          <w:rFonts w:cs="Tahoma"/>
          <w:b/>
          <w:szCs w:val="20"/>
          <w:lang w:val="it-IT"/>
        </w:rPr>
        <w:t xml:space="preserve"> ELENCATI NELL’APPENDICE 1-A DEL REG (UE) 1998/2015</w:t>
      </w:r>
    </w:p>
    <w:p w:rsidR="003915D9" w:rsidRDefault="003915D9" w:rsidP="003915D9">
      <w:pPr>
        <w:rPr>
          <w:rFonts w:cs="Tahoma"/>
          <w:szCs w:val="20"/>
          <w:lang w:val="it-IT"/>
        </w:rPr>
      </w:pPr>
    </w:p>
    <w:p w:rsidR="003915D9" w:rsidRPr="00320AD5" w:rsidRDefault="00E82E70" w:rsidP="006C005E">
      <w:pPr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Il Regolamento (UE) 1998/2015</w:t>
      </w:r>
      <w:r w:rsidR="003915D9" w:rsidRPr="00320AD5">
        <w:rPr>
          <w:rFonts w:cs="Tahoma"/>
          <w:szCs w:val="20"/>
          <w:lang w:val="it-IT"/>
        </w:rPr>
        <w:t xml:space="preserve"> stabilisce talune misure di applicazione delle norme di base comuni sulla sicurezza dell’aviazione civile  e dispone il controllo del personale aeroportuale, compreso il personale di bordo, e degli articoli proibiti necessari per l’espletamento delle loro funzioni.</w:t>
      </w:r>
    </w:p>
    <w:p w:rsidR="003915D9" w:rsidRPr="00320AD5" w:rsidRDefault="003915D9" w:rsidP="006C005E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L’elenco degli articoli proibiti di cui all’Allegato </w:t>
      </w:r>
      <w:r w:rsidR="00E82E70">
        <w:rPr>
          <w:rFonts w:cs="Tahoma"/>
          <w:szCs w:val="20"/>
          <w:lang w:val="it-IT"/>
        </w:rPr>
        <w:t xml:space="preserve">1-A </w:t>
      </w:r>
      <w:r w:rsidRPr="00320AD5">
        <w:rPr>
          <w:rFonts w:cs="Tahoma"/>
          <w:szCs w:val="20"/>
          <w:lang w:val="it-IT"/>
        </w:rPr>
        <w:t xml:space="preserve">al Regolamento suddetto </w:t>
      </w:r>
      <w:r w:rsidR="00002005">
        <w:rPr>
          <w:rFonts w:cs="Tahoma"/>
          <w:szCs w:val="20"/>
          <w:lang w:val="it-IT"/>
        </w:rPr>
        <w:t xml:space="preserve">non </w:t>
      </w:r>
      <w:r w:rsidRPr="00320AD5">
        <w:rPr>
          <w:rFonts w:cs="Tahoma"/>
          <w:szCs w:val="20"/>
          <w:lang w:val="it-IT"/>
        </w:rPr>
        <w:t xml:space="preserve">comprende attrezzi che possono essere usati come armi a punta o a spigolo, per esempio trapani, punte di trapani, coltelli, utensili, seghe, cacciaviti, chiavi </w:t>
      </w:r>
      <w:r w:rsidR="008B6F9F">
        <w:rPr>
          <w:rFonts w:cs="Tahoma"/>
          <w:szCs w:val="20"/>
          <w:lang w:val="it-IT"/>
        </w:rPr>
        <w:t xml:space="preserve">inglesi, che sono elencati </w:t>
      </w:r>
      <w:r w:rsidR="0001095D">
        <w:rPr>
          <w:rFonts w:cs="Tahoma"/>
          <w:szCs w:val="20"/>
          <w:lang w:val="it-IT"/>
        </w:rPr>
        <w:t xml:space="preserve">nell’Appendice 4-C </w:t>
      </w:r>
      <w:r w:rsidR="00CC59A8">
        <w:rPr>
          <w:rFonts w:cs="Tahoma"/>
          <w:szCs w:val="20"/>
          <w:lang w:val="it-IT"/>
        </w:rPr>
        <w:t xml:space="preserve">alle lettere c), </w:t>
      </w:r>
      <w:r w:rsidR="00DD3C8D">
        <w:rPr>
          <w:rFonts w:cs="Tahoma"/>
          <w:szCs w:val="20"/>
          <w:lang w:val="it-IT"/>
        </w:rPr>
        <w:t>d) ed e).</w:t>
      </w:r>
    </w:p>
    <w:p w:rsidR="003915D9" w:rsidRPr="00320AD5" w:rsidRDefault="003915D9" w:rsidP="006C005E">
      <w:pPr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Al fine di consentire al personale aeroportuale di svolgere compiti essenziali per il funzionamento degli impianti dell’aeroporto o degli aeromobili o per l’espletamento delle loro funzioni durante il volo, ed in ottemperanza al Regolamento suddetto, dovrà ap</w:t>
      </w:r>
      <w:r>
        <w:rPr>
          <w:rFonts w:cs="Tahoma"/>
          <w:szCs w:val="20"/>
          <w:lang w:val="it-IT"/>
        </w:rPr>
        <w:t>plicarsi la seguente procedura:</w:t>
      </w:r>
    </w:p>
    <w:p w:rsidR="003915D9" w:rsidRPr="00320AD5" w:rsidRDefault="003915D9" w:rsidP="006C005E">
      <w:pPr>
        <w:pStyle w:val="Paragrafoelenco"/>
        <w:widowControl/>
        <w:numPr>
          <w:ilvl w:val="0"/>
          <w:numId w:val="1"/>
        </w:numPr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Al momento dell’ingresso in area sterile l’operatore che introduce </w:t>
      </w:r>
      <w:r w:rsidR="00A41B06">
        <w:rPr>
          <w:rFonts w:cs="Tahoma"/>
          <w:szCs w:val="20"/>
          <w:lang w:val="it-IT"/>
        </w:rPr>
        <w:t>articoli proibiti, il cui Ente/</w:t>
      </w:r>
      <w:r w:rsidRPr="00320AD5">
        <w:rPr>
          <w:rFonts w:cs="Tahoma"/>
          <w:szCs w:val="20"/>
          <w:lang w:val="it-IT"/>
        </w:rPr>
        <w:t>Società ha richiesto ed ottenuto l’autorizzazione  sul tesserino di ingresso previsto dall’ordinanza in vigore, esibirà il tesserino aeroportuale comprovante l’autorizzazione concessa e fornirà un elenco dettagliato dei citati artic</w:t>
      </w:r>
      <w:r w:rsidR="00493312">
        <w:rPr>
          <w:rFonts w:cs="Tahoma"/>
          <w:szCs w:val="20"/>
          <w:lang w:val="it-IT"/>
        </w:rPr>
        <w:t xml:space="preserve">oli proibiti come indicato nel </w:t>
      </w:r>
      <w:r w:rsidRPr="00320AD5">
        <w:rPr>
          <w:rFonts w:cs="Tahoma"/>
          <w:szCs w:val="20"/>
          <w:lang w:val="it-IT"/>
        </w:rPr>
        <w:t>modulo</w:t>
      </w:r>
      <w:r w:rsidR="00493312">
        <w:rPr>
          <w:rFonts w:cs="Tahoma"/>
          <w:szCs w:val="20"/>
          <w:lang w:val="it-IT"/>
        </w:rPr>
        <w:t xml:space="preserve"> “</w:t>
      </w:r>
      <w:r w:rsidR="00A41B06" w:rsidRPr="00493312">
        <w:rPr>
          <w:rFonts w:cs="Tahoma"/>
          <w:b/>
          <w:szCs w:val="20"/>
          <w:lang w:val="it-IT"/>
        </w:rPr>
        <w:t>Sub Allegato 2.C</w:t>
      </w:r>
      <w:r w:rsidRPr="00320AD5">
        <w:rPr>
          <w:rFonts w:cs="Tahoma"/>
          <w:szCs w:val="20"/>
          <w:lang w:val="it-IT"/>
        </w:rPr>
        <w:t>” allegato alla presente procedura.</w:t>
      </w:r>
    </w:p>
    <w:p w:rsidR="003915D9" w:rsidRPr="00320AD5" w:rsidRDefault="003915D9" w:rsidP="006C005E">
      <w:pPr>
        <w:pStyle w:val="Paragrafoelenco"/>
        <w:widowControl/>
        <w:spacing w:after="0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Il suddetto operatore dovrà utilizzare il medesimo varco per l’ingresso e l’uscita dall’Area sterile anche nel caso di uscita senza tutti o alcuni degli articoli proibiti introdotti.</w:t>
      </w:r>
    </w:p>
    <w:p w:rsidR="003915D9" w:rsidRPr="00320AD5" w:rsidRDefault="003915D9" w:rsidP="006C005E">
      <w:pPr>
        <w:pStyle w:val="Paragrafoelenco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 xml:space="preserve">L’elenco dovrà essere compilato in duplice copia di cui una copia verrà lasciata al personale addetto al controllo al varco per l’eventuale riscontro a campione. </w:t>
      </w:r>
    </w:p>
    <w:p w:rsidR="003915D9" w:rsidRPr="00320AD5" w:rsidRDefault="003915D9" w:rsidP="006C005E">
      <w:pPr>
        <w:pStyle w:val="Paragrafoelenco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Al momento della consegna dell’elenco i soggetti preposti ai controlli dovranno apporre, sull’elenco anzidetto, un timbro attestante l’avvenuta verifica.</w:t>
      </w:r>
    </w:p>
    <w:p w:rsidR="003915D9" w:rsidRDefault="003915D9" w:rsidP="006C005E">
      <w:pPr>
        <w:pStyle w:val="Paragrafoelenco"/>
        <w:jc w:val="both"/>
        <w:rPr>
          <w:rFonts w:cs="Tahoma"/>
          <w:szCs w:val="20"/>
          <w:lang w:val="it-IT"/>
        </w:rPr>
      </w:pPr>
      <w:r w:rsidRPr="00320AD5">
        <w:rPr>
          <w:rFonts w:cs="Tahoma"/>
          <w:szCs w:val="20"/>
          <w:lang w:val="it-IT"/>
        </w:rPr>
        <w:t>La manc</w:t>
      </w:r>
      <w:r w:rsidR="00204C58">
        <w:rPr>
          <w:rFonts w:cs="Tahoma"/>
          <w:szCs w:val="20"/>
          <w:lang w:val="it-IT"/>
        </w:rPr>
        <w:t xml:space="preserve">ata consegna dell’autorizzazione </w:t>
      </w:r>
      <w:r w:rsidR="00204C58" w:rsidRPr="00320AD5">
        <w:rPr>
          <w:rFonts w:cs="Tahoma"/>
          <w:szCs w:val="20"/>
          <w:lang w:val="it-IT"/>
        </w:rPr>
        <w:t>suddetta</w:t>
      </w:r>
      <w:r w:rsidR="00204C58">
        <w:rPr>
          <w:rFonts w:cs="Tahoma"/>
          <w:szCs w:val="20"/>
          <w:lang w:val="it-IT"/>
        </w:rPr>
        <w:t xml:space="preserve"> (</w:t>
      </w:r>
      <w:r w:rsidR="00204C58" w:rsidRPr="000B1AA1">
        <w:rPr>
          <w:rFonts w:cs="Tahoma"/>
          <w:b/>
          <w:szCs w:val="20"/>
          <w:lang w:val="it-IT"/>
        </w:rPr>
        <w:t>Sub Allegato 2.C</w:t>
      </w:r>
      <w:r w:rsidR="00204C58">
        <w:rPr>
          <w:rFonts w:cs="Tahoma"/>
          <w:szCs w:val="20"/>
          <w:lang w:val="it-IT"/>
        </w:rPr>
        <w:t>)</w:t>
      </w:r>
      <w:r w:rsidRPr="00320AD5">
        <w:rPr>
          <w:rFonts w:cs="Tahoma"/>
          <w:szCs w:val="20"/>
          <w:lang w:val="it-IT"/>
        </w:rPr>
        <w:t xml:space="preserve"> comporterà il divieto di introdurre gli ar</w:t>
      </w:r>
      <w:r w:rsidR="00493312">
        <w:rPr>
          <w:rFonts w:cs="Tahoma"/>
          <w:szCs w:val="20"/>
          <w:lang w:val="it-IT"/>
        </w:rPr>
        <w:t xml:space="preserve">ticoli </w:t>
      </w:r>
      <w:r w:rsidR="00204C58">
        <w:rPr>
          <w:rFonts w:cs="Tahoma"/>
          <w:szCs w:val="20"/>
          <w:lang w:val="it-IT"/>
        </w:rPr>
        <w:t>proibi</w:t>
      </w:r>
      <w:r w:rsidR="003C18A6">
        <w:rPr>
          <w:rFonts w:cs="Tahoma"/>
          <w:szCs w:val="20"/>
          <w:lang w:val="it-IT"/>
        </w:rPr>
        <w:t xml:space="preserve">ti in area sterile </w:t>
      </w:r>
      <w:r w:rsidR="00204C58">
        <w:rPr>
          <w:rFonts w:cs="Tahoma"/>
          <w:szCs w:val="20"/>
          <w:lang w:val="it-IT"/>
        </w:rPr>
        <w:t>con la contestuale richiesta di intervento delle Forze dell’Ordine.</w:t>
      </w:r>
    </w:p>
    <w:p w:rsidR="00204C58" w:rsidRPr="00320AD5" w:rsidRDefault="00204C58" w:rsidP="006C005E">
      <w:pPr>
        <w:pStyle w:val="Paragrafoelenco"/>
        <w:jc w:val="both"/>
        <w:rPr>
          <w:rFonts w:cs="Tahoma"/>
          <w:szCs w:val="20"/>
          <w:lang w:val="it-IT"/>
        </w:rPr>
      </w:pPr>
    </w:p>
    <w:p w:rsidR="003915D9" w:rsidRPr="00204C58" w:rsidRDefault="00631C08" w:rsidP="006C005E">
      <w:pPr>
        <w:pStyle w:val="Paragrafoelenco"/>
        <w:widowControl/>
        <w:numPr>
          <w:ilvl w:val="0"/>
          <w:numId w:val="1"/>
        </w:numPr>
        <w:spacing w:after="0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 xml:space="preserve">Il personale dell’Aerdorica preposto al controllo dei </w:t>
      </w:r>
      <w:r w:rsidR="003915D9" w:rsidRPr="00631C08">
        <w:rPr>
          <w:rFonts w:cs="Tahoma"/>
          <w:szCs w:val="20"/>
          <w:lang w:val="it-IT"/>
        </w:rPr>
        <w:t>Varchi/Pas</w:t>
      </w:r>
      <w:r>
        <w:rPr>
          <w:rFonts w:cs="Tahoma"/>
          <w:szCs w:val="20"/>
          <w:lang w:val="it-IT"/>
        </w:rPr>
        <w:t xml:space="preserve">saggi di servizio effettuerà il </w:t>
      </w:r>
      <w:r w:rsidR="003915D9" w:rsidRPr="00631C08">
        <w:rPr>
          <w:rFonts w:cs="Tahoma"/>
          <w:szCs w:val="20"/>
          <w:lang w:val="it-IT"/>
        </w:rPr>
        <w:t>control</w:t>
      </w:r>
      <w:r>
        <w:rPr>
          <w:rFonts w:cs="Tahoma"/>
          <w:szCs w:val="20"/>
          <w:lang w:val="it-IT"/>
        </w:rPr>
        <w:t xml:space="preserve">lo </w:t>
      </w:r>
      <w:r w:rsidR="003915D9" w:rsidRPr="00631C08">
        <w:rPr>
          <w:rFonts w:cs="Tahoma"/>
          <w:szCs w:val="20"/>
          <w:lang w:val="it-IT"/>
        </w:rPr>
        <w:t xml:space="preserve"> sulla rispondenza tra gli articoli proibiti introdotti e qu</w:t>
      </w:r>
      <w:r w:rsidR="00204C58">
        <w:rPr>
          <w:rFonts w:cs="Tahoma"/>
          <w:szCs w:val="20"/>
          <w:lang w:val="it-IT"/>
        </w:rPr>
        <w:t>elli di cui all’elenco suddetto.</w:t>
      </w:r>
    </w:p>
    <w:p w:rsidR="003915D9" w:rsidRPr="00320AD5" w:rsidRDefault="00204C58" w:rsidP="006C005E">
      <w:pPr>
        <w:pStyle w:val="Paragrafoelenco"/>
        <w:widowControl/>
        <w:spacing w:after="0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 xml:space="preserve">Se l’addetto </w:t>
      </w:r>
      <w:r w:rsidR="003915D9" w:rsidRPr="00320AD5">
        <w:rPr>
          <w:rFonts w:cs="Tahoma"/>
          <w:szCs w:val="20"/>
          <w:lang w:val="it-IT"/>
        </w:rPr>
        <w:t xml:space="preserve"> dovesse riscontrare la mancata rispondenza tra gli articoli proibiti introdotti e quelli di cui all’elenco (dichiarati), dovrà immediatamente attuare gli opportuni accertamenti </w:t>
      </w:r>
      <w:r w:rsidR="003915D9">
        <w:rPr>
          <w:rFonts w:cs="Tahoma"/>
          <w:szCs w:val="20"/>
          <w:lang w:val="it-IT"/>
        </w:rPr>
        <w:t>e</w:t>
      </w:r>
      <w:r w:rsidR="003915D9" w:rsidRPr="00320AD5">
        <w:rPr>
          <w:rFonts w:cs="Tahoma"/>
          <w:szCs w:val="20"/>
          <w:lang w:val="it-IT"/>
        </w:rPr>
        <w:t>d informare, contestualmente, l’Ufficio di Polizia di Frontiera  locale per gli adempimenti di competenza.</w:t>
      </w:r>
    </w:p>
    <w:p w:rsidR="003915D9" w:rsidRPr="00320AD5" w:rsidRDefault="003915D9" w:rsidP="006C005E">
      <w:pPr>
        <w:pStyle w:val="Paragrafoelenco"/>
        <w:jc w:val="both"/>
        <w:rPr>
          <w:rFonts w:cs="Tahoma"/>
          <w:szCs w:val="20"/>
          <w:lang w:val="it-IT"/>
        </w:rPr>
      </w:pPr>
    </w:p>
    <w:p w:rsidR="003915D9" w:rsidRDefault="006C005E" w:rsidP="006C005E">
      <w:pPr>
        <w:pStyle w:val="Paragrafoelenco"/>
        <w:widowControl/>
        <w:numPr>
          <w:ilvl w:val="0"/>
          <w:numId w:val="1"/>
        </w:numPr>
        <w:spacing w:after="0"/>
        <w:jc w:val="both"/>
        <w:rPr>
          <w:rFonts w:cs="Tahoma"/>
          <w:szCs w:val="20"/>
          <w:lang w:val="it-IT"/>
        </w:rPr>
      </w:pPr>
      <w:r>
        <w:rPr>
          <w:rFonts w:cs="Tahoma"/>
          <w:szCs w:val="20"/>
          <w:lang w:val="it-IT"/>
        </w:rPr>
        <w:t>Gli Enti</w:t>
      </w:r>
      <w:r w:rsidR="003915D9" w:rsidRPr="00320AD5">
        <w:rPr>
          <w:rFonts w:cs="Tahoma"/>
          <w:szCs w:val="20"/>
          <w:lang w:val="it-IT"/>
        </w:rPr>
        <w:t>/Società che, a loro volta, riscontrassero smarrimenti/furti di articoli proibiti di cui all’elenco</w:t>
      </w:r>
      <w:r w:rsidR="003915D9">
        <w:rPr>
          <w:rFonts w:cs="Tahoma"/>
          <w:szCs w:val="20"/>
          <w:lang w:val="it-IT"/>
        </w:rPr>
        <w:t>,</w:t>
      </w:r>
      <w:r w:rsidR="003915D9" w:rsidRPr="00320AD5">
        <w:rPr>
          <w:rFonts w:cs="Tahoma"/>
          <w:szCs w:val="20"/>
          <w:lang w:val="it-IT"/>
        </w:rPr>
        <w:t xml:space="preserve"> introdotti nell’area sterile aeroportuale, dovranno immediatamente segnalarli al locale Ufficio Polizia di Frontiera.</w:t>
      </w:r>
    </w:p>
    <w:p w:rsidR="00204C58" w:rsidRDefault="00204C58" w:rsidP="006C005E">
      <w:pPr>
        <w:pStyle w:val="Paragrafoelenco"/>
        <w:widowControl/>
        <w:spacing w:after="0"/>
        <w:jc w:val="both"/>
        <w:rPr>
          <w:rFonts w:cs="Tahoma"/>
          <w:szCs w:val="20"/>
          <w:lang w:val="it-IT"/>
        </w:rPr>
      </w:pPr>
    </w:p>
    <w:p w:rsidR="00204C58" w:rsidRPr="00204C58" w:rsidRDefault="00204C58" w:rsidP="006C005E">
      <w:pPr>
        <w:pStyle w:val="Paragrafoelenco"/>
        <w:numPr>
          <w:ilvl w:val="0"/>
          <w:numId w:val="1"/>
        </w:numPr>
        <w:jc w:val="both"/>
        <w:rPr>
          <w:rFonts w:cs="Tahoma"/>
          <w:szCs w:val="20"/>
          <w:lang w:val="it-IT"/>
        </w:rPr>
      </w:pPr>
      <w:r w:rsidRPr="00204C58">
        <w:rPr>
          <w:rFonts w:cs="Tahoma"/>
          <w:szCs w:val="20"/>
          <w:lang w:val="it-IT"/>
        </w:rPr>
        <w:t>Il suddetto elenco degli articoli proibiti sarà detenuto dalla s</w:t>
      </w:r>
      <w:r w:rsidR="006C005E">
        <w:rPr>
          <w:rFonts w:cs="Tahoma"/>
          <w:szCs w:val="20"/>
          <w:lang w:val="it-IT"/>
        </w:rPr>
        <w:t>ocietà di gestione Aerdorica ai v</w:t>
      </w:r>
      <w:r w:rsidRPr="00204C58">
        <w:rPr>
          <w:rFonts w:cs="Tahoma"/>
          <w:szCs w:val="20"/>
          <w:lang w:val="it-IT"/>
        </w:rPr>
        <w:t>archi/Passagg</w:t>
      </w:r>
      <w:r w:rsidR="006C005E">
        <w:rPr>
          <w:rFonts w:cs="Tahoma"/>
          <w:szCs w:val="20"/>
          <w:lang w:val="it-IT"/>
        </w:rPr>
        <w:t>i di servizio.</w:t>
      </w:r>
    </w:p>
    <w:p w:rsidR="00204C58" w:rsidRPr="00320AD5" w:rsidRDefault="00204C58" w:rsidP="00204C58">
      <w:pPr>
        <w:pStyle w:val="Paragrafoelenco"/>
        <w:widowControl/>
        <w:spacing w:after="0"/>
        <w:jc w:val="both"/>
        <w:rPr>
          <w:rFonts w:cs="Tahoma"/>
          <w:szCs w:val="20"/>
          <w:lang w:val="it-IT"/>
        </w:rPr>
      </w:pPr>
    </w:p>
    <w:sectPr w:rsidR="00204C58" w:rsidRPr="00320AD5" w:rsidSect="00254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A88" w:rsidRDefault="00EA5A88" w:rsidP="003915D9">
      <w:pPr>
        <w:spacing w:after="0" w:line="240" w:lineRule="auto"/>
      </w:pPr>
      <w:r>
        <w:separator/>
      </w:r>
    </w:p>
  </w:endnote>
  <w:endnote w:type="continuationSeparator" w:id="0">
    <w:p w:rsidR="00EA5A88" w:rsidRDefault="00EA5A88" w:rsidP="0039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92" w:rsidRDefault="00254E9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92" w:rsidRDefault="00254E9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92" w:rsidRDefault="00254E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A88" w:rsidRDefault="00EA5A88" w:rsidP="003915D9">
      <w:pPr>
        <w:spacing w:after="0" w:line="240" w:lineRule="auto"/>
      </w:pPr>
      <w:r>
        <w:separator/>
      </w:r>
    </w:p>
  </w:footnote>
  <w:footnote w:type="continuationSeparator" w:id="0">
    <w:p w:rsidR="00EA5A88" w:rsidRDefault="00EA5A88" w:rsidP="00391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92" w:rsidRDefault="00254E9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0C2" w:rsidRDefault="00254E92">
    <w:pPr>
      <w:pStyle w:val="Intestazione"/>
    </w:pPr>
    <w:r>
      <w:rPr>
        <w:noProof/>
        <w:lang w:val="it-IT" w:eastAsia="it-IT"/>
      </w:rPr>
      <w:drawing>
        <wp:inline distT="0" distB="0" distL="0" distR="0">
          <wp:extent cx="2219325" cy="4857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E92" w:rsidRDefault="00254E9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53C59"/>
    <w:multiLevelType w:val="hybridMultilevel"/>
    <w:tmpl w:val="5FDAB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D9"/>
    <w:rsid w:val="00002005"/>
    <w:rsid w:val="0001095D"/>
    <w:rsid w:val="0001688C"/>
    <w:rsid w:val="00022A92"/>
    <w:rsid w:val="000314A0"/>
    <w:rsid w:val="000B1AA1"/>
    <w:rsid w:val="000D5CEE"/>
    <w:rsid w:val="000E10F8"/>
    <w:rsid w:val="000E79A5"/>
    <w:rsid w:val="001537EC"/>
    <w:rsid w:val="00204C58"/>
    <w:rsid w:val="0023280E"/>
    <w:rsid w:val="00254E92"/>
    <w:rsid w:val="002621D3"/>
    <w:rsid w:val="002858C0"/>
    <w:rsid w:val="00285D03"/>
    <w:rsid w:val="00347580"/>
    <w:rsid w:val="003915D9"/>
    <w:rsid w:val="003C18A6"/>
    <w:rsid w:val="003C4DA3"/>
    <w:rsid w:val="003D1CA7"/>
    <w:rsid w:val="003F0253"/>
    <w:rsid w:val="00446B73"/>
    <w:rsid w:val="004538BF"/>
    <w:rsid w:val="00480201"/>
    <w:rsid w:val="00493312"/>
    <w:rsid w:val="00516CDD"/>
    <w:rsid w:val="0056242D"/>
    <w:rsid w:val="00576986"/>
    <w:rsid w:val="005E21C0"/>
    <w:rsid w:val="005E2D61"/>
    <w:rsid w:val="00631C08"/>
    <w:rsid w:val="006C005E"/>
    <w:rsid w:val="007B6252"/>
    <w:rsid w:val="007F7177"/>
    <w:rsid w:val="00841BF7"/>
    <w:rsid w:val="008B6F9F"/>
    <w:rsid w:val="00991F87"/>
    <w:rsid w:val="00A30BB5"/>
    <w:rsid w:val="00A41B06"/>
    <w:rsid w:val="00A84CF8"/>
    <w:rsid w:val="00B075D3"/>
    <w:rsid w:val="00BB5296"/>
    <w:rsid w:val="00CC59A8"/>
    <w:rsid w:val="00D038C1"/>
    <w:rsid w:val="00D17942"/>
    <w:rsid w:val="00D65FAE"/>
    <w:rsid w:val="00DD3C8D"/>
    <w:rsid w:val="00E650C2"/>
    <w:rsid w:val="00E73356"/>
    <w:rsid w:val="00E82E70"/>
    <w:rsid w:val="00EA5A88"/>
    <w:rsid w:val="00F0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5D9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915D9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915D9"/>
    <w:rPr>
      <w:rFonts w:ascii="Tahoma" w:eastAsia="Arial" w:hAnsi="Tahoma"/>
      <w:b/>
      <w:bCs/>
      <w:sz w:val="18"/>
      <w:szCs w:val="26"/>
      <w:u w:val="none"/>
    </w:rPr>
  </w:style>
  <w:style w:type="paragraph" w:styleId="Corpotesto">
    <w:name w:val="Body Text"/>
    <w:basedOn w:val="Normale"/>
    <w:link w:val="CorpotestoCarattere"/>
    <w:rsid w:val="003915D9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915D9"/>
    <w:rPr>
      <w:rFonts w:ascii="Courier New" w:eastAsia="Times New Roman" w:hAnsi="Courier New"/>
      <w:u w:val="none"/>
      <w:lang w:val="en-US"/>
    </w:rPr>
  </w:style>
  <w:style w:type="paragraph" w:styleId="Paragrafoelenco">
    <w:name w:val="List Paragraph"/>
    <w:basedOn w:val="Normale"/>
    <w:uiPriority w:val="34"/>
    <w:qFormat/>
    <w:rsid w:val="003915D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3915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915D9"/>
    <w:rPr>
      <w:rFonts w:ascii="Tahoma" w:eastAsia="Calibri" w:hAnsi="Tahoma"/>
      <w:sz w:val="20"/>
      <w:szCs w:val="22"/>
      <w:u w:val="none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915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915D9"/>
    <w:rPr>
      <w:rFonts w:ascii="Tahoma" w:eastAsia="Calibri" w:hAnsi="Tahoma"/>
      <w:sz w:val="16"/>
      <w:szCs w:val="16"/>
      <w:u w:val="none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1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15D9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1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5D9"/>
    <w:rPr>
      <w:rFonts w:ascii="Tahoma" w:eastAsia="Calibri" w:hAnsi="Tahoma"/>
      <w:sz w:val="20"/>
      <w:szCs w:val="22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E92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E92"/>
    <w:rPr>
      <w:rFonts w:ascii="Tahoma" w:eastAsia="Calibri" w:hAnsi="Tahoma" w:cs="Tahoma"/>
      <w:sz w:val="16"/>
      <w:szCs w:val="16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15D9"/>
    <w:pPr>
      <w:widowControl w:val="0"/>
      <w:spacing w:after="200" w:line="276" w:lineRule="auto"/>
    </w:pPr>
    <w:rPr>
      <w:rFonts w:ascii="Tahoma" w:eastAsia="Calibri" w:hAnsi="Tahoma"/>
      <w:sz w:val="20"/>
      <w:szCs w:val="22"/>
      <w:u w:val="none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915D9"/>
    <w:pPr>
      <w:keepNext/>
      <w:spacing w:before="240" w:after="60"/>
      <w:outlineLvl w:val="2"/>
    </w:pPr>
    <w:rPr>
      <w:rFonts w:eastAsia="Arial"/>
      <w:b/>
      <w:bCs/>
      <w:sz w:val="18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3915D9"/>
    <w:rPr>
      <w:rFonts w:ascii="Tahoma" w:eastAsia="Arial" w:hAnsi="Tahoma"/>
      <w:b/>
      <w:bCs/>
      <w:sz w:val="18"/>
      <w:szCs w:val="26"/>
      <w:u w:val="none"/>
    </w:rPr>
  </w:style>
  <w:style w:type="paragraph" w:styleId="Corpotesto">
    <w:name w:val="Body Text"/>
    <w:basedOn w:val="Normale"/>
    <w:link w:val="CorpotestoCarattere"/>
    <w:rsid w:val="003915D9"/>
    <w:pPr>
      <w:widowControl/>
      <w:spacing w:after="0" w:line="240" w:lineRule="auto"/>
      <w:jc w:val="both"/>
    </w:pPr>
    <w:rPr>
      <w:rFonts w:ascii="Courier New" w:eastAsia="Times New Roman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915D9"/>
    <w:rPr>
      <w:rFonts w:ascii="Courier New" w:eastAsia="Times New Roman" w:hAnsi="Courier New"/>
      <w:u w:val="none"/>
      <w:lang w:val="en-US"/>
    </w:rPr>
  </w:style>
  <w:style w:type="paragraph" w:styleId="Paragrafoelenco">
    <w:name w:val="List Paragraph"/>
    <w:basedOn w:val="Normale"/>
    <w:uiPriority w:val="34"/>
    <w:qFormat/>
    <w:rsid w:val="003915D9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3915D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915D9"/>
    <w:rPr>
      <w:rFonts w:ascii="Tahoma" w:eastAsia="Calibri" w:hAnsi="Tahoma"/>
      <w:sz w:val="20"/>
      <w:szCs w:val="22"/>
      <w:u w:val="none"/>
      <w:lang w:val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915D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915D9"/>
    <w:rPr>
      <w:rFonts w:ascii="Tahoma" w:eastAsia="Calibri" w:hAnsi="Tahoma"/>
      <w:sz w:val="16"/>
      <w:szCs w:val="16"/>
      <w:u w:val="none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91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15D9"/>
    <w:rPr>
      <w:rFonts w:ascii="Tahoma" w:eastAsia="Calibri" w:hAnsi="Tahoma"/>
      <w:sz w:val="20"/>
      <w:szCs w:val="22"/>
      <w:u w:val="none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915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5D9"/>
    <w:rPr>
      <w:rFonts w:ascii="Tahoma" w:eastAsia="Calibri" w:hAnsi="Tahoma"/>
      <w:sz w:val="20"/>
      <w:szCs w:val="22"/>
      <w:u w:val="none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4E92"/>
    <w:pPr>
      <w:spacing w:after="0" w:line="240" w:lineRule="auto"/>
    </w:pPr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4E92"/>
    <w:rPr>
      <w:rFonts w:ascii="Tahoma" w:eastAsia="Calibri" w:hAnsi="Tahoma" w:cs="Tahoma"/>
      <w:sz w:val="16"/>
      <w:szCs w:val="16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Cardinali Francesco - Aerdorica S.p.A.</dc:creator>
  <cp:lastModifiedBy>acquisti</cp:lastModifiedBy>
  <cp:revision>2</cp:revision>
  <cp:lastPrinted>2016-05-18T12:26:00Z</cp:lastPrinted>
  <dcterms:created xsi:type="dcterms:W3CDTF">2016-05-25T10:25:00Z</dcterms:created>
  <dcterms:modified xsi:type="dcterms:W3CDTF">2016-05-25T10:25:00Z</dcterms:modified>
</cp:coreProperties>
</file>