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2F0C" w14:textId="77777777" w:rsidR="000C18DA" w:rsidRDefault="000C18DA" w:rsidP="000C18DA">
      <w:pPr>
        <w:pStyle w:val="Titolo3"/>
      </w:pPr>
      <w:bookmarkStart w:id="0" w:name="_Toc410838038"/>
      <w:r>
        <w:rPr>
          <w:noProof/>
        </w:rPr>
        <w:drawing>
          <wp:inline distT="0" distB="0" distL="0" distR="0" wp14:anchorId="3C4F46CE" wp14:editId="613962BB">
            <wp:extent cx="3702121" cy="1111250"/>
            <wp:effectExtent l="0" t="0" r="0" b="0"/>
            <wp:docPr id="19631244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73" cy="11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74FC7" w14:textId="17D9EE0B" w:rsidR="00006BC2" w:rsidRPr="000C18DA" w:rsidRDefault="00006BC2" w:rsidP="000C18DA">
      <w:pPr>
        <w:pStyle w:val="Titolo3"/>
        <w:jc w:val="left"/>
        <w:rPr>
          <w:lang w:val="it-IT"/>
        </w:rPr>
      </w:pPr>
      <w:r w:rsidRPr="000C18DA">
        <w:rPr>
          <w:lang w:val="it-IT"/>
        </w:rPr>
        <w:t xml:space="preserve">BROCHURE INFORMATIVA </w:t>
      </w:r>
      <w:r w:rsidR="00A27021" w:rsidRPr="000C18DA">
        <w:rPr>
          <w:lang w:val="it-IT"/>
        </w:rPr>
        <w:t xml:space="preserve">IN MATERIA DI SAFETY/SECURITY E SICUREZZA SUL LAVORO AEROPORTUALE </w:t>
      </w:r>
      <w:bookmarkEnd w:id="0"/>
    </w:p>
    <w:p w14:paraId="7A4C7AB4" w14:textId="5CB403BD" w:rsidR="00006BC2" w:rsidRPr="00A27021" w:rsidRDefault="00006BC2" w:rsidP="00006BC2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284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>Chiunque presta abituale servizio in aeroporto deve possedere il Tesserino d’Ingresso Aeroportuale (TIA). Il Tesserino è strettamente personale e non può essere utilizzato per scopi diversi da quelli previsti dalle disposizioni vigenti. Lo stesso deve essere esposto in maniera ben visibile durante tutta la permanenza in aeroporto</w:t>
      </w:r>
      <w:r w:rsidR="001A2BC6">
        <w:rPr>
          <w:rFonts w:cs="Tahoma"/>
          <w:bCs/>
          <w:sz w:val="18"/>
          <w:szCs w:val="18"/>
          <w:lang w:val="it-IT"/>
        </w:rPr>
        <w:t xml:space="preserve">, lo stesso dicasi per il lasciapassare veicolare. </w:t>
      </w:r>
      <w:r w:rsidRPr="00A27021">
        <w:rPr>
          <w:rFonts w:cs="Tahoma"/>
          <w:bCs/>
          <w:sz w:val="18"/>
          <w:szCs w:val="18"/>
          <w:lang w:val="it-IT"/>
        </w:rPr>
        <w:t>Se per qualsiasi causa decadano i motivi, i presupposti e/o i requisiti che avevano determinato l’emissione del tesserino di ingresso</w:t>
      </w:r>
      <w:r w:rsidR="001A2BC6">
        <w:rPr>
          <w:rFonts w:cs="Tahoma"/>
          <w:bCs/>
          <w:sz w:val="18"/>
          <w:szCs w:val="18"/>
          <w:lang w:val="it-IT"/>
        </w:rPr>
        <w:t xml:space="preserve"> o del lasciapassare veicolare,</w:t>
      </w:r>
      <w:r w:rsidRPr="00A27021">
        <w:rPr>
          <w:rFonts w:cs="Tahoma"/>
          <w:bCs/>
          <w:sz w:val="18"/>
          <w:szCs w:val="18"/>
          <w:lang w:val="it-IT"/>
        </w:rPr>
        <w:t xml:space="preserve"> i titolari sono obbligati a restituire il medesimo all’Ente o Società e/o Operatore che aveva inoltrato la richiesta di emissione il quale provvederà</w:t>
      </w:r>
      <w:r w:rsidR="003B515C">
        <w:rPr>
          <w:rFonts w:cs="Tahoma"/>
          <w:bCs/>
          <w:sz w:val="18"/>
          <w:szCs w:val="18"/>
          <w:lang w:val="it-IT"/>
        </w:rPr>
        <w:t>,</w:t>
      </w:r>
      <w:r w:rsidRPr="00A27021">
        <w:rPr>
          <w:rFonts w:cs="Tahoma"/>
          <w:bCs/>
          <w:sz w:val="18"/>
          <w:szCs w:val="18"/>
          <w:lang w:val="it-IT"/>
        </w:rPr>
        <w:t xml:space="preserve"> successivamente</w:t>
      </w:r>
      <w:r w:rsidR="003B515C">
        <w:rPr>
          <w:rFonts w:cs="Tahoma"/>
          <w:bCs/>
          <w:sz w:val="18"/>
          <w:szCs w:val="18"/>
          <w:lang w:val="it-IT"/>
        </w:rPr>
        <w:t>,</w:t>
      </w:r>
      <w:r w:rsidRPr="00A27021">
        <w:rPr>
          <w:rFonts w:cs="Tahoma"/>
          <w:bCs/>
          <w:sz w:val="18"/>
          <w:szCs w:val="18"/>
          <w:lang w:val="it-IT"/>
        </w:rPr>
        <w:t xml:space="preserve"> alla riconsegna all’Ufficio Pass della Società ANCONA INTERNATIONAL AIRPORT S.p.a.</w:t>
      </w:r>
    </w:p>
    <w:p w14:paraId="630C3D81" w14:textId="34CA1A48" w:rsidR="00006BC2" w:rsidRPr="000E2ADD" w:rsidRDefault="00006BC2" w:rsidP="000E2ADD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198"/>
        <w:jc w:val="both"/>
        <w:rPr>
          <w:rFonts w:cs="Tahoma"/>
          <w:bCs/>
          <w:sz w:val="18"/>
          <w:szCs w:val="18"/>
          <w:lang w:val="it-IT"/>
        </w:rPr>
      </w:pPr>
      <w:r w:rsidRPr="000E2ADD">
        <w:rPr>
          <w:rFonts w:cs="Tahoma"/>
          <w:bCs/>
          <w:sz w:val="18"/>
          <w:szCs w:val="18"/>
          <w:lang w:val="it-IT"/>
        </w:rPr>
        <w:t>Il mancato rispetto dell’obbligo di restituzione del tesserino d’ingresso aeroportuale</w:t>
      </w:r>
      <w:r w:rsidR="001A2BC6">
        <w:rPr>
          <w:rFonts w:cs="Tahoma"/>
          <w:bCs/>
          <w:sz w:val="18"/>
          <w:szCs w:val="18"/>
          <w:lang w:val="it-IT"/>
        </w:rPr>
        <w:t xml:space="preserve"> o lasciapassare veicolare</w:t>
      </w:r>
      <w:r w:rsidRPr="000E2ADD">
        <w:rPr>
          <w:rFonts w:cs="Tahoma"/>
          <w:bCs/>
          <w:sz w:val="18"/>
          <w:szCs w:val="18"/>
          <w:lang w:val="it-IT"/>
        </w:rPr>
        <w:t xml:space="preserve">, comporterà l’immediata segnalazione ai soggetti inadempienti notificando il fatto alla Direzione Aeroportuale ENAC Regioni Centro, per i provvedimenti sanzionatori di competenza (art. 1174 </w:t>
      </w:r>
      <w:proofErr w:type="spellStart"/>
      <w:r w:rsidRPr="000E2ADD">
        <w:rPr>
          <w:rFonts w:cs="Tahoma"/>
          <w:bCs/>
          <w:sz w:val="18"/>
          <w:szCs w:val="18"/>
          <w:lang w:val="it-IT"/>
        </w:rPr>
        <w:t>C.d.N</w:t>
      </w:r>
      <w:proofErr w:type="spellEnd"/>
      <w:r w:rsidRPr="000E2ADD">
        <w:rPr>
          <w:rFonts w:cs="Tahoma"/>
          <w:bCs/>
          <w:sz w:val="18"/>
          <w:szCs w:val="18"/>
          <w:lang w:val="it-IT"/>
        </w:rPr>
        <w:t>.).</w:t>
      </w:r>
    </w:p>
    <w:p w14:paraId="67A07047" w14:textId="77777777" w:rsidR="00006BC2" w:rsidRPr="00A27021" w:rsidRDefault="00006BC2" w:rsidP="00006BC2">
      <w:pPr>
        <w:widowControl/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</w:p>
    <w:p w14:paraId="59DD45FB" w14:textId="3FE7DFA5" w:rsidR="00A27021" w:rsidRPr="000E2ADD" w:rsidRDefault="00006BC2" w:rsidP="000E2ADD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>Lo stesso dicasi in caso di smarrimento e/o furto del tesserino di ingresso aeroportuale</w:t>
      </w:r>
      <w:r w:rsidR="001A2BC6">
        <w:rPr>
          <w:rFonts w:cs="Tahoma"/>
          <w:bCs/>
          <w:sz w:val="18"/>
          <w:szCs w:val="18"/>
          <w:lang w:val="it-IT"/>
        </w:rPr>
        <w:t xml:space="preserve"> o del lasciapassare veicolare.</w:t>
      </w:r>
    </w:p>
    <w:p w14:paraId="13F654A0" w14:textId="2E6B1D25" w:rsidR="00006BC2" w:rsidRPr="00A27021" w:rsidRDefault="00006BC2" w:rsidP="00FC1CC7">
      <w:pPr>
        <w:widowControl/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>Gli articoli proibiti elencati nell’appendice 1-A se autorizzati (</w:t>
      </w:r>
      <w:r w:rsidR="00D87598">
        <w:rPr>
          <w:rFonts w:cs="Tahoma"/>
          <w:bCs/>
          <w:sz w:val="18"/>
          <w:szCs w:val="18"/>
          <w:lang w:val="it-IT"/>
        </w:rPr>
        <w:t xml:space="preserve">modello </w:t>
      </w:r>
      <w:r w:rsidR="00693A7E">
        <w:rPr>
          <w:rFonts w:cs="Tahoma"/>
          <w:b/>
          <w:bCs/>
          <w:sz w:val="18"/>
          <w:szCs w:val="18"/>
          <w:lang w:val="it-IT"/>
        </w:rPr>
        <w:t>SEC.01</w:t>
      </w:r>
      <w:r w:rsidRPr="00A27021">
        <w:rPr>
          <w:rFonts w:cs="Tahoma"/>
          <w:bCs/>
          <w:sz w:val="18"/>
          <w:szCs w:val="18"/>
          <w:lang w:val="it-IT"/>
        </w:rPr>
        <w:t>) possono essere conservati all’interno dell’area sterile purché ciò avvenga in condizione di sicurezza.</w:t>
      </w:r>
    </w:p>
    <w:p w14:paraId="6C1945AE" w14:textId="77777777" w:rsidR="00006BC2" w:rsidRPr="00A27021" w:rsidRDefault="00006BC2" w:rsidP="00006BC2">
      <w:pPr>
        <w:pStyle w:val="Paragrafoelenco"/>
        <w:widowControl/>
        <w:autoSpaceDE w:val="0"/>
        <w:autoSpaceDN w:val="0"/>
        <w:adjustRightInd w:val="0"/>
        <w:spacing w:after="0"/>
        <w:jc w:val="both"/>
        <w:rPr>
          <w:rFonts w:cs="Tahoma"/>
          <w:bCs/>
          <w:sz w:val="18"/>
          <w:szCs w:val="18"/>
          <w:lang w:val="it-IT"/>
        </w:rPr>
      </w:pPr>
    </w:p>
    <w:p w14:paraId="20930FF6" w14:textId="2DC5E7D4" w:rsidR="00006BC2" w:rsidRPr="00FC1CC7" w:rsidRDefault="00006BC2" w:rsidP="00FC1CC7">
      <w:pPr>
        <w:pStyle w:val="Paragrafoelenco"/>
        <w:numPr>
          <w:ilvl w:val="0"/>
          <w:numId w:val="17"/>
        </w:numPr>
        <w:spacing w:after="0" w:line="240" w:lineRule="auto"/>
        <w:ind w:left="426" w:hanging="340"/>
        <w:jc w:val="both"/>
        <w:rPr>
          <w:rFonts w:cs="Tahoma"/>
          <w:bCs/>
          <w:sz w:val="18"/>
          <w:szCs w:val="18"/>
          <w:lang w:val="it-IT"/>
        </w:rPr>
      </w:pPr>
      <w:r w:rsidRPr="00FC1CC7">
        <w:rPr>
          <w:rFonts w:cs="Tahoma"/>
          <w:bCs/>
          <w:sz w:val="18"/>
          <w:szCs w:val="18"/>
          <w:lang w:val="it-IT"/>
        </w:rPr>
        <w:t>I normali utensili da lavoro e gli oggetti dotati di punta acuminata o estremità affilata, non sono più considerati articoli proibiti per le persone diverse dai passeggeri e qualora introdotti in area sterile, devono essere sottoposti ai normali controlli di sicurezza e, successivamente, mantenuti in luogo non accessibile ai passeggeri.</w:t>
      </w:r>
    </w:p>
    <w:p w14:paraId="345CEE2A" w14:textId="77777777" w:rsidR="00FC1CC7" w:rsidRPr="00FC1CC7" w:rsidRDefault="00FC1CC7" w:rsidP="00006BC2">
      <w:pPr>
        <w:spacing w:after="0" w:line="240" w:lineRule="auto"/>
        <w:jc w:val="both"/>
        <w:rPr>
          <w:rFonts w:cs="Tahoma"/>
          <w:bCs/>
          <w:sz w:val="18"/>
          <w:szCs w:val="18"/>
          <w:lang w:val="it-IT"/>
        </w:rPr>
      </w:pPr>
    </w:p>
    <w:p w14:paraId="44D80BA3" w14:textId="4B565E75" w:rsidR="00006BC2" w:rsidRPr="002857EF" w:rsidRDefault="00FC1CC7" w:rsidP="002857EF">
      <w:pPr>
        <w:pStyle w:val="Paragrafoelenco"/>
        <w:numPr>
          <w:ilvl w:val="0"/>
          <w:numId w:val="17"/>
        </w:numPr>
        <w:ind w:left="426"/>
        <w:jc w:val="both"/>
        <w:rPr>
          <w:sz w:val="18"/>
          <w:szCs w:val="18"/>
          <w:lang w:val="it-IT"/>
        </w:rPr>
      </w:pPr>
      <w:r w:rsidRPr="00FC1CC7">
        <w:rPr>
          <w:sz w:val="18"/>
          <w:szCs w:val="18"/>
          <w:lang w:val="it-IT"/>
        </w:rPr>
        <w:t>Per i lavori affidati ad impresa appaltatrice, ricadenti nell’ambito di contratti d’appalto o d’opera o di somministrazione e per quelli ricadenti nell’ambito di Cantieri temporanei o mobili, attenersi scrupolosamente a quanto prescritto rispettivamente dal Documento Unico di Valutazione dei Rischi Interferenziali (DUVRI) e dal Piano Sicurezza e Coordinamento. Tutti i lavori che comportano un impatto sull’operatività, utenza e/o personale aeroportuale devono essere specificatamente autorizzati.</w:t>
      </w:r>
    </w:p>
    <w:p w14:paraId="2F4339B1" w14:textId="77777777" w:rsidR="00006BC2" w:rsidRPr="00A27021" w:rsidRDefault="00006BC2" w:rsidP="00006BC2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>All’interno dell’aerostazione e in tutta l’area sterile dell’aeroporto è vietato fumare, abbandonarsi a giochi di qualsiasi natura e gettare rifiuti fuori degli appositi contenitori.</w:t>
      </w:r>
    </w:p>
    <w:p w14:paraId="41090E19" w14:textId="77777777" w:rsidR="00006BC2" w:rsidRPr="00A27021" w:rsidRDefault="00006BC2" w:rsidP="00006BC2">
      <w:pPr>
        <w:widowControl/>
        <w:autoSpaceDE w:val="0"/>
        <w:autoSpaceDN w:val="0"/>
        <w:adjustRightInd w:val="0"/>
        <w:spacing w:after="0"/>
        <w:ind w:left="1114"/>
        <w:jc w:val="both"/>
        <w:rPr>
          <w:rFonts w:cs="Tahoma"/>
          <w:bCs/>
          <w:sz w:val="18"/>
          <w:szCs w:val="18"/>
          <w:lang w:val="it-IT"/>
        </w:rPr>
      </w:pPr>
    </w:p>
    <w:p w14:paraId="136EA3E9" w14:textId="77777777" w:rsidR="00006BC2" w:rsidRPr="00A27021" w:rsidRDefault="00006BC2" w:rsidP="00006BC2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>Ai sensi della normativa vigente, sono espressamente vietati durante l’orario di servizio, la somministrazione e l’assunzione di sostanze alcoliche, l’uso di droghe e l’assunzione di medicinali che possono influire negativamente sulle capacità psico-fisiche degli operatori in modo tale da compromettere la sicurezza (</w:t>
      </w:r>
      <w:proofErr w:type="spellStart"/>
      <w:r w:rsidRPr="00A27021">
        <w:rPr>
          <w:rFonts w:cs="Tahoma"/>
          <w:bCs/>
          <w:sz w:val="18"/>
          <w:szCs w:val="18"/>
          <w:lang w:val="it-IT"/>
        </w:rPr>
        <w:t>safety</w:t>
      </w:r>
      <w:proofErr w:type="spellEnd"/>
      <w:r w:rsidRPr="00A27021">
        <w:rPr>
          <w:rFonts w:cs="Tahoma"/>
          <w:bCs/>
          <w:sz w:val="18"/>
          <w:szCs w:val="18"/>
          <w:lang w:val="it-IT"/>
        </w:rPr>
        <w:t xml:space="preserve"> e security) delle operazioni aeroportuali oltre a quella personale.</w:t>
      </w:r>
    </w:p>
    <w:p w14:paraId="1692D86C" w14:textId="77777777" w:rsidR="00006BC2" w:rsidRPr="00A27021" w:rsidRDefault="00006BC2" w:rsidP="00006BC2">
      <w:pPr>
        <w:widowControl/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</w:p>
    <w:p w14:paraId="1A85523F" w14:textId="77777777" w:rsidR="00006BC2" w:rsidRPr="00A27021" w:rsidRDefault="00006BC2" w:rsidP="00006BC2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 xml:space="preserve">In tutta l’area sterile dell’aeroporto è vietato condurre animali ad eccezione di quelli che devono essere imbarcati o sbarcati al seguito dei passeggeri; i cani devono essere condotti al guinzaglio e con museruola. I conduttori saranno ritenuti responsabili dei danni provocati dai loro animali a persone e/o cose di terzi. </w:t>
      </w:r>
    </w:p>
    <w:p w14:paraId="07B0F868" w14:textId="77777777" w:rsidR="00006BC2" w:rsidRPr="00A27021" w:rsidRDefault="00006BC2" w:rsidP="00006BC2">
      <w:pPr>
        <w:widowControl/>
        <w:autoSpaceDE w:val="0"/>
        <w:autoSpaceDN w:val="0"/>
        <w:adjustRightInd w:val="0"/>
        <w:spacing w:after="0"/>
        <w:jc w:val="both"/>
        <w:rPr>
          <w:rFonts w:cs="Tahoma"/>
          <w:bCs/>
          <w:sz w:val="18"/>
          <w:szCs w:val="18"/>
          <w:lang w:val="it-IT"/>
        </w:rPr>
      </w:pPr>
    </w:p>
    <w:p w14:paraId="3BFF26D9" w14:textId="19A0C424" w:rsidR="00693A7E" w:rsidRPr="00693A7E" w:rsidRDefault="00006BC2" w:rsidP="00693A7E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Style w:val="Collegamentoipertestuale"/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 xml:space="preserve">La presente procedura </w:t>
      </w:r>
      <w:r w:rsidR="00693A7E">
        <w:rPr>
          <w:rFonts w:cs="Tahoma"/>
          <w:bCs/>
          <w:sz w:val="18"/>
          <w:szCs w:val="18"/>
          <w:lang w:val="it-IT"/>
        </w:rPr>
        <w:t>è parte integrante del</w:t>
      </w:r>
      <w:r w:rsidRPr="00A27021">
        <w:rPr>
          <w:rFonts w:cs="Tahoma"/>
          <w:bCs/>
          <w:sz w:val="18"/>
          <w:szCs w:val="18"/>
          <w:lang w:val="it-IT"/>
        </w:rPr>
        <w:t xml:space="preserve"> Programma di Sicurezza Aeroportuale (P.S.A.)</w:t>
      </w:r>
      <w:r w:rsidR="00A27021">
        <w:rPr>
          <w:rFonts w:cs="Tahoma"/>
          <w:bCs/>
          <w:sz w:val="18"/>
          <w:szCs w:val="18"/>
          <w:lang w:val="it-IT"/>
        </w:rPr>
        <w:t xml:space="preserve"> </w:t>
      </w:r>
      <w:r w:rsidR="00693A7E">
        <w:rPr>
          <w:rFonts w:cs="Tahoma"/>
          <w:bCs/>
          <w:sz w:val="18"/>
          <w:szCs w:val="18"/>
          <w:lang w:val="it-IT"/>
        </w:rPr>
        <w:t xml:space="preserve">ed </w:t>
      </w:r>
      <w:r w:rsidR="00693A7E" w:rsidRPr="00C47A5A">
        <w:rPr>
          <w:rFonts w:cs="Tahoma"/>
          <w:bCs/>
          <w:sz w:val="18"/>
          <w:szCs w:val="18"/>
          <w:lang w:val="it-IT"/>
        </w:rPr>
        <w:t xml:space="preserve">è </w:t>
      </w:r>
      <w:r w:rsidR="00693A7E">
        <w:rPr>
          <w:rFonts w:cs="Tahoma"/>
          <w:bCs/>
          <w:sz w:val="18"/>
          <w:szCs w:val="18"/>
          <w:lang w:val="it-IT"/>
        </w:rPr>
        <w:t xml:space="preserve">consultabile dal sito dell’aeroporto: </w:t>
      </w:r>
      <w:hyperlink r:id="rId6" w:history="1">
        <w:r w:rsidR="00693A7E" w:rsidRPr="00990B4F">
          <w:rPr>
            <w:rStyle w:val="Collegamentoipertestuale"/>
            <w:rFonts w:cs="Tahoma"/>
            <w:bCs/>
            <w:sz w:val="16"/>
            <w:szCs w:val="16"/>
            <w:lang w:val="it-IT"/>
          </w:rPr>
          <w:t>www.ancona-airport.com/normativa aeroportuale</w:t>
        </w:r>
      </w:hyperlink>
      <w:r w:rsidR="00693A7E">
        <w:rPr>
          <w:rStyle w:val="Collegamentoipertestuale"/>
          <w:rFonts w:cs="Tahoma"/>
          <w:bCs/>
          <w:sz w:val="16"/>
          <w:szCs w:val="16"/>
          <w:lang w:val="it-IT"/>
        </w:rPr>
        <w:t xml:space="preserve"> </w:t>
      </w:r>
    </w:p>
    <w:p w14:paraId="60F8CA3E" w14:textId="77777777" w:rsidR="00006BC2" w:rsidRPr="000C18DA" w:rsidRDefault="00006BC2" w:rsidP="00006BC2">
      <w:pPr>
        <w:widowControl/>
        <w:autoSpaceDE w:val="0"/>
        <w:autoSpaceDN w:val="0"/>
        <w:adjustRightInd w:val="0"/>
        <w:spacing w:after="0"/>
        <w:ind w:left="426"/>
        <w:jc w:val="both"/>
        <w:rPr>
          <w:rStyle w:val="Collegamentoipertestuale"/>
          <w:lang w:val="it-IT"/>
        </w:rPr>
      </w:pPr>
    </w:p>
    <w:p w14:paraId="43738696" w14:textId="6621ADB4" w:rsidR="00006BC2" w:rsidRDefault="00006BC2" w:rsidP="00006BC2">
      <w:pPr>
        <w:widowControl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 xml:space="preserve">Chiunque non osserva una disposizione </w:t>
      </w:r>
      <w:r w:rsidR="00693A7E" w:rsidRPr="00A27021">
        <w:rPr>
          <w:rFonts w:cs="Tahoma"/>
          <w:bCs/>
          <w:sz w:val="18"/>
          <w:szCs w:val="18"/>
          <w:lang w:val="it-IT"/>
        </w:rPr>
        <w:t>di legge</w:t>
      </w:r>
      <w:r w:rsidRPr="00A27021">
        <w:rPr>
          <w:rFonts w:cs="Tahoma"/>
          <w:bCs/>
          <w:sz w:val="18"/>
          <w:szCs w:val="18"/>
          <w:lang w:val="it-IT"/>
        </w:rPr>
        <w:t xml:space="preserve"> </w:t>
      </w:r>
      <w:r w:rsidR="00693A7E" w:rsidRPr="00A27021">
        <w:rPr>
          <w:rFonts w:cs="Tahoma"/>
          <w:bCs/>
          <w:sz w:val="18"/>
          <w:szCs w:val="18"/>
          <w:lang w:val="it-IT"/>
        </w:rPr>
        <w:t xml:space="preserve">o </w:t>
      </w:r>
      <w:r w:rsidR="00630F37" w:rsidRPr="00A27021">
        <w:rPr>
          <w:rFonts w:cs="Tahoma"/>
          <w:bCs/>
          <w:sz w:val="18"/>
          <w:szCs w:val="18"/>
          <w:lang w:val="it-IT"/>
        </w:rPr>
        <w:t>di regolamento</w:t>
      </w:r>
      <w:r w:rsidRPr="00A27021">
        <w:rPr>
          <w:rFonts w:cs="Tahoma"/>
          <w:bCs/>
          <w:sz w:val="18"/>
          <w:szCs w:val="18"/>
          <w:lang w:val="it-IT"/>
        </w:rPr>
        <w:t xml:space="preserve">, ovvero un provvedimento legalmente dato, come le Ordinanze, dall'Autorità Competente in materia </w:t>
      </w:r>
      <w:r w:rsidR="00FC1CC7" w:rsidRPr="00A27021">
        <w:rPr>
          <w:rFonts w:cs="Tahoma"/>
          <w:bCs/>
          <w:sz w:val="18"/>
          <w:szCs w:val="18"/>
          <w:lang w:val="it-IT"/>
        </w:rPr>
        <w:t>di polizia</w:t>
      </w:r>
      <w:r w:rsidRPr="00A27021">
        <w:rPr>
          <w:rFonts w:cs="Tahoma"/>
          <w:bCs/>
          <w:sz w:val="18"/>
          <w:szCs w:val="18"/>
          <w:lang w:val="it-IT"/>
        </w:rPr>
        <w:t xml:space="preserve"> degli aeroporti, </w:t>
      </w:r>
      <w:r w:rsidR="001A2BC6" w:rsidRPr="00A27021">
        <w:rPr>
          <w:rFonts w:cs="Tahoma"/>
          <w:bCs/>
          <w:sz w:val="18"/>
          <w:szCs w:val="18"/>
          <w:lang w:val="it-IT"/>
        </w:rPr>
        <w:t>è punito</w:t>
      </w:r>
      <w:r w:rsidRPr="00A27021">
        <w:rPr>
          <w:rFonts w:cs="Tahoma"/>
          <w:bCs/>
          <w:sz w:val="18"/>
          <w:szCs w:val="18"/>
          <w:lang w:val="it-IT"/>
        </w:rPr>
        <w:t xml:space="preserve">, se il fatto non costituisce reato, con la </w:t>
      </w:r>
      <w:r w:rsidR="00A60D6D" w:rsidRPr="00A27021">
        <w:rPr>
          <w:rFonts w:cs="Tahoma"/>
          <w:bCs/>
          <w:sz w:val="18"/>
          <w:szCs w:val="18"/>
          <w:lang w:val="it-IT"/>
        </w:rPr>
        <w:t xml:space="preserve">sanzione </w:t>
      </w:r>
      <w:r w:rsidR="00541896" w:rsidRPr="00A27021">
        <w:rPr>
          <w:rFonts w:cs="Tahoma"/>
          <w:bCs/>
          <w:sz w:val="18"/>
          <w:szCs w:val="18"/>
          <w:lang w:val="it-IT"/>
        </w:rPr>
        <w:t>amministrativa del</w:t>
      </w:r>
      <w:r w:rsidRPr="00A27021">
        <w:rPr>
          <w:rFonts w:cs="Tahoma"/>
          <w:bCs/>
          <w:sz w:val="18"/>
          <w:szCs w:val="18"/>
          <w:lang w:val="it-IT"/>
        </w:rPr>
        <w:t xml:space="preserve"> pagamento di una somma da euro 1.032,</w:t>
      </w:r>
      <w:proofErr w:type="gramStart"/>
      <w:r w:rsidRPr="00A27021">
        <w:rPr>
          <w:rFonts w:cs="Tahoma"/>
          <w:bCs/>
          <w:sz w:val="18"/>
          <w:szCs w:val="18"/>
          <w:lang w:val="it-IT"/>
        </w:rPr>
        <w:t>00  a</w:t>
      </w:r>
      <w:proofErr w:type="gramEnd"/>
      <w:r w:rsidRPr="00A27021">
        <w:rPr>
          <w:rFonts w:cs="Tahoma"/>
          <w:bCs/>
          <w:sz w:val="18"/>
          <w:szCs w:val="18"/>
          <w:lang w:val="it-IT"/>
        </w:rPr>
        <w:t xml:space="preserve"> euro 6.197,00. Se l'inosservanza riguarda un provvedimento dell’autorità in materia di circolazione nell'ambito del demanio aeronautico, si applica la sanzione amministrativa del pagamento di una somma da euro 51,00 a euro 309,00 (</w:t>
      </w:r>
      <w:proofErr w:type="spellStart"/>
      <w:r w:rsidRPr="00A27021">
        <w:rPr>
          <w:rFonts w:cs="Tahoma"/>
          <w:bCs/>
          <w:sz w:val="18"/>
          <w:szCs w:val="18"/>
          <w:lang w:val="it-IT"/>
        </w:rPr>
        <w:t>CdN</w:t>
      </w:r>
      <w:proofErr w:type="spellEnd"/>
      <w:r w:rsidRPr="00A27021">
        <w:rPr>
          <w:rFonts w:cs="Tahoma"/>
          <w:bCs/>
          <w:sz w:val="18"/>
          <w:szCs w:val="18"/>
          <w:lang w:val="it-IT"/>
        </w:rPr>
        <w:t>, art. 1174).</w:t>
      </w:r>
    </w:p>
    <w:p w14:paraId="07ECFFDC" w14:textId="77777777" w:rsidR="00FC1CC7" w:rsidRPr="00A27021" w:rsidRDefault="00FC1CC7" w:rsidP="00FC1CC7">
      <w:pPr>
        <w:widowControl/>
        <w:autoSpaceDE w:val="0"/>
        <w:autoSpaceDN w:val="0"/>
        <w:adjustRightInd w:val="0"/>
        <w:spacing w:after="0"/>
        <w:jc w:val="both"/>
        <w:rPr>
          <w:rFonts w:cs="Tahoma"/>
          <w:bCs/>
          <w:sz w:val="18"/>
          <w:szCs w:val="18"/>
          <w:lang w:val="it-IT"/>
        </w:rPr>
      </w:pPr>
    </w:p>
    <w:p w14:paraId="351059C8" w14:textId="77777777" w:rsidR="001A2BC6" w:rsidRDefault="00006BC2" w:rsidP="001A2BC6">
      <w:pPr>
        <w:ind w:left="426"/>
        <w:jc w:val="both"/>
        <w:rPr>
          <w:rFonts w:cs="Tahoma"/>
          <w:bCs/>
          <w:sz w:val="18"/>
          <w:szCs w:val="18"/>
          <w:lang w:val="it-IT"/>
        </w:rPr>
      </w:pPr>
      <w:r w:rsidRPr="00A27021">
        <w:rPr>
          <w:rFonts w:cs="Tahoma"/>
          <w:bCs/>
          <w:sz w:val="18"/>
          <w:szCs w:val="18"/>
          <w:lang w:val="it-IT"/>
        </w:rPr>
        <w:t xml:space="preserve">La violazione degli articoli 1170, 1173 e 1174 importa </w:t>
      </w:r>
      <w:r w:rsidR="00A27021" w:rsidRPr="00A27021">
        <w:rPr>
          <w:rFonts w:cs="Tahoma"/>
          <w:bCs/>
          <w:sz w:val="18"/>
          <w:szCs w:val="18"/>
          <w:lang w:val="it-IT"/>
        </w:rPr>
        <w:t>l’applicazione della</w:t>
      </w:r>
      <w:r w:rsidRPr="00A27021">
        <w:rPr>
          <w:rFonts w:cs="Tahoma"/>
          <w:bCs/>
          <w:sz w:val="18"/>
          <w:szCs w:val="18"/>
          <w:lang w:val="it-IT"/>
        </w:rPr>
        <w:t xml:space="preserve"> sanzione amministrativa accessoria della sospensione dai titoli o dalla professione. (</w:t>
      </w:r>
      <w:proofErr w:type="spellStart"/>
      <w:r w:rsidRPr="00A27021">
        <w:rPr>
          <w:rFonts w:cs="Tahoma"/>
          <w:bCs/>
          <w:sz w:val="18"/>
          <w:szCs w:val="18"/>
          <w:lang w:val="it-IT"/>
        </w:rPr>
        <w:t>CdN</w:t>
      </w:r>
      <w:proofErr w:type="spellEnd"/>
      <w:r w:rsidRPr="00A27021">
        <w:rPr>
          <w:rFonts w:cs="Tahoma"/>
          <w:bCs/>
          <w:sz w:val="18"/>
          <w:szCs w:val="18"/>
          <w:lang w:val="it-IT"/>
        </w:rPr>
        <w:t>, art. 1175)</w:t>
      </w:r>
      <w:r w:rsidR="00693A7E">
        <w:rPr>
          <w:rFonts w:cs="Tahoma"/>
          <w:bCs/>
          <w:sz w:val="18"/>
          <w:szCs w:val="18"/>
          <w:lang w:val="it-IT"/>
        </w:rPr>
        <w:t>.</w:t>
      </w:r>
    </w:p>
    <w:p w14:paraId="4B808F9E" w14:textId="77777777" w:rsidR="000C18DA" w:rsidRDefault="000C18DA" w:rsidP="001A2BC6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46E81C52" w14:textId="77777777" w:rsidR="000C18DA" w:rsidRDefault="000C18DA" w:rsidP="001A2BC6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1DD828D7" w14:textId="77777777" w:rsidR="000C18DA" w:rsidRDefault="000C18DA" w:rsidP="001A2BC6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5BE44E55" w14:textId="77777777" w:rsidR="000C18DA" w:rsidRDefault="000C18DA" w:rsidP="000C18DA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281E8308" w14:textId="77777777" w:rsidR="000C18DA" w:rsidRDefault="000C18DA" w:rsidP="000C18DA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45D2096D" w14:textId="77777777" w:rsidR="000C18DA" w:rsidRDefault="000C18DA" w:rsidP="000C18DA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618AD204" w14:textId="77777777" w:rsidR="000C18DA" w:rsidRDefault="000C18DA" w:rsidP="000C18DA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0950381B" w14:textId="25C0690D" w:rsidR="001A2BC6" w:rsidRPr="001A2BC6" w:rsidRDefault="001A2BC6" w:rsidP="000C18DA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  <w:r w:rsidRPr="00630F37">
        <w:rPr>
          <w:rFonts w:ascii="Calibri" w:hAnsi="Calibri"/>
          <w:b/>
          <w:color w:val="FF0000"/>
          <w:szCs w:val="20"/>
          <w:lang w:val="it-IT"/>
        </w:rPr>
        <w:lastRenderedPageBreak/>
        <w:t>LAYOUT AEROPORTUALE CON UBICAZIONE E TIPOLOGIA DELLE POSTAZIONI DI CONTROLLO</w:t>
      </w:r>
    </w:p>
    <w:p w14:paraId="70E81C1F" w14:textId="7F427F08" w:rsidR="002857EF" w:rsidRDefault="001A2BC6" w:rsidP="00DA452E">
      <w:pPr>
        <w:ind w:left="426"/>
        <w:rPr>
          <w:rFonts w:cs="Tahoma"/>
          <w:bCs/>
          <w:sz w:val="18"/>
          <w:szCs w:val="18"/>
          <w:lang w:val="it-IT"/>
        </w:rPr>
      </w:pPr>
      <w:r>
        <w:rPr>
          <w:rFonts w:cs="Tahoma"/>
          <w:bCs/>
          <w:noProof/>
          <w:sz w:val="18"/>
          <w:szCs w:val="18"/>
          <w:lang w:val="it-IT"/>
        </w:rPr>
        <w:drawing>
          <wp:inline distT="0" distB="0" distL="0" distR="0" wp14:anchorId="56655D0F" wp14:editId="1E44F7DF">
            <wp:extent cx="1936115" cy="5486534"/>
            <wp:effectExtent l="0" t="3492" r="3492" b="3493"/>
            <wp:docPr id="16255530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7904" cy="5548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1960B" w14:textId="37B1F87D" w:rsidR="002857EF" w:rsidRDefault="00745833" w:rsidP="000C18DA">
      <w:pPr>
        <w:ind w:left="426"/>
        <w:jc w:val="center"/>
        <w:rPr>
          <w:rFonts w:cs="Tahoma"/>
          <w:bCs/>
          <w:sz w:val="18"/>
          <w:szCs w:val="18"/>
          <w:lang w:val="it-IT"/>
        </w:rPr>
      </w:pPr>
      <w:r w:rsidRPr="00DA452E">
        <w:rPr>
          <w:rFonts w:cs="Tahoma"/>
          <w:b/>
          <w:sz w:val="18"/>
          <w:szCs w:val="18"/>
          <w:lang w:val="it-IT"/>
        </w:rPr>
        <w:t>Varco A</w:t>
      </w:r>
      <w:r>
        <w:rPr>
          <w:rFonts w:cs="Tahoma"/>
          <w:bCs/>
          <w:sz w:val="18"/>
          <w:szCs w:val="18"/>
          <w:lang w:val="it-IT"/>
        </w:rPr>
        <w:t>: Varco crew/staff</w:t>
      </w:r>
      <w:r w:rsidR="00DA452E">
        <w:rPr>
          <w:rFonts w:cs="Tahoma"/>
          <w:bCs/>
          <w:sz w:val="18"/>
          <w:szCs w:val="18"/>
          <w:lang w:val="it-IT"/>
        </w:rPr>
        <w:t xml:space="preserve"> munito</w:t>
      </w:r>
      <w:r w:rsidR="003B515C">
        <w:rPr>
          <w:rFonts w:cs="Tahoma"/>
          <w:bCs/>
          <w:sz w:val="18"/>
          <w:szCs w:val="18"/>
          <w:lang w:val="it-IT"/>
        </w:rPr>
        <w:t xml:space="preserve"> di tutte le dotazioni di security</w:t>
      </w:r>
      <w:r w:rsidR="00D87598">
        <w:rPr>
          <w:rFonts w:cs="Tahoma"/>
          <w:bCs/>
          <w:sz w:val="18"/>
          <w:szCs w:val="18"/>
          <w:lang w:val="it-IT"/>
        </w:rPr>
        <w:t xml:space="preserve"> (</w:t>
      </w:r>
      <w:proofErr w:type="spellStart"/>
      <w:proofErr w:type="gramStart"/>
      <w:r w:rsidR="00D87598">
        <w:rPr>
          <w:rFonts w:cs="Tahoma"/>
          <w:bCs/>
          <w:sz w:val="18"/>
          <w:szCs w:val="18"/>
          <w:lang w:val="it-IT"/>
        </w:rPr>
        <w:t>es:RX</w:t>
      </w:r>
      <w:proofErr w:type="gramEnd"/>
      <w:r w:rsidR="00D87598">
        <w:rPr>
          <w:rFonts w:cs="Tahoma"/>
          <w:bCs/>
          <w:sz w:val="18"/>
          <w:szCs w:val="18"/>
          <w:lang w:val="it-IT"/>
        </w:rPr>
        <w:t>-WTMD-ETD</w:t>
      </w:r>
      <w:proofErr w:type="spellEnd"/>
      <w:r w:rsidR="00D87598">
        <w:rPr>
          <w:rFonts w:cs="Tahoma"/>
          <w:bCs/>
          <w:sz w:val="18"/>
          <w:szCs w:val="18"/>
          <w:lang w:val="it-IT"/>
        </w:rPr>
        <w:t>)</w:t>
      </w:r>
    </w:p>
    <w:p w14:paraId="087174C4" w14:textId="42352EF1" w:rsidR="002857EF" w:rsidRDefault="001A2BC6" w:rsidP="001A2BC6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  <w:r w:rsidRPr="001A2BC6">
        <w:rPr>
          <w:rFonts w:ascii="Calibri" w:hAnsi="Calibri"/>
          <w:b/>
          <w:color w:val="FF0000"/>
          <w:szCs w:val="20"/>
          <w:lang w:val="it-IT"/>
        </w:rPr>
        <w:t>TIPOLOGIE DEI TESSERINI E AREE DI ACCESSO COLLEGATE</w:t>
      </w:r>
    </w:p>
    <w:p w14:paraId="39728039" w14:textId="77777777" w:rsidR="001A2BC6" w:rsidRPr="001A2BC6" w:rsidRDefault="001A2BC6" w:rsidP="001A2BC6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5241"/>
      </w:tblGrid>
      <w:tr w:rsidR="002857EF" w:rsidRPr="002857EF" w14:paraId="7202D43C" w14:textId="77777777" w:rsidTr="000C18DA">
        <w:trPr>
          <w:trHeight w:val="126"/>
          <w:jc w:val="center"/>
        </w:trPr>
        <w:tc>
          <w:tcPr>
            <w:tcW w:w="1500" w:type="dxa"/>
            <w:shd w:val="clear" w:color="auto" w:fill="F2F2F2"/>
            <w:vAlign w:val="center"/>
          </w:tcPr>
          <w:p w14:paraId="61C60ACF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COLORE</w:t>
            </w:r>
          </w:p>
        </w:tc>
        <w:tc>
          <w:tcPr>
            <w:tcW w:w="5241" w:type="dxa"/>
            <w:shd w:val="clear" w:color="auto" w:fill="F2F2F2"/>
            <w:vAlign w:val="center"/>
          </w:tcPr>
          <w:p w14:paraId="0599A2AF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AREE DI ACCESSO</w:t>
            </w:r>
          </w:p>
        </w:tc>
      </w:tr>
      <w:tr w:rsidR="002857EF" w:rsidRPr="002857EF" w14:paraId="2BF12A5C" w14:textId="77777777" w:rsidTr="000C18DA">
        <w:trPr>
          <w:trHeight w:val="126"/>
          <w:jc w:val="center"/>
        </w:trPr>
        <w:tc>
          <w:tcPr>
            <w:tcW w:w="1500" w:type="dxa"/>
            <w:shd w:val="clear" w:color="auto" w:fill="FF0000"/>
            <w:vAlign w:val="center"/>
          </w:tcPr>
          <w:p w14:paraId="7194F8A1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ROSSO</w:t>
            </w:r>
          </w:p>
        </w:tc>
        <w:tc>
          <w:tcPr>
            <w:tcW w:w="5241" w:type="dxa"/>
            <w:vAlign w:val="center"/>
          </w:tcPr>
          <w:p w14:paraId="7B133BFC" w14:textId="77777777" w:rsidR="002857EF" w:rsidRPr="002857EF" w:rsidRDefault="002857EF" w:rsidP="002857EF">
            <w:pPr>
              <w:spacing w:after="60" w:line="240" w:lineRule="auto"/>
              <w:ind w:right="136"/>
              <w:rPr>
                <w:rFonts w:ascii="Helvetica" w:hAnsi="Helvetica"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color w:val="262626"/>
                <w:sz w:val="22"/>
                <w:lang w:val="it-IT"/>
              </w:rPr>
              <w:t>tutte le aree</w:t>
            </w:r>
          </w:p>
        </w:tc>
      </w:tr>
      <w:tr w:rsidR="002857EF" w:rsidRPr="000C18DA" w14:paraId="35223760" w14:textId="77777777" w:rsidTr="000C18DA">
        <w:trPr>
          <w:trHeight w:val="918"/>
          <w:jc w:val="center"/>
        </w:trPr>
        <w:tc>
          <w:tcPr>
            <w:tcW w:w="1500" w:type="dxa"/>
            <w:shd w:val="clear" w:color="auto" w:fill="92D050"/>
            <w:vAlign w:val="center"/>
          </w:tcPr>
          <w:p w14:paraId="5DF2CFFB" w14:textId="77777777" w:rsidR="002857EF" w:rsidRPr="002857EF" w:rsidRDefault="002857EF" w:rsidP="001A2BC6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VERDE</w:t>
            </w:r>
          </w:p>
        </w:tc>
        <w:tc>
          <w:tcPr>
            <w:tcW w:w="5241" w:type="dxa"/>
            <w:vAlign w:val="center"/>
          </w:tcPr>
          <w:p w14:paraId="4721B1BD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spacing w:after="60" w:line="240" w:lineRule="auto"/>
              <w:ind w:left="351" w:right="136"/>
              <w:rPr>
                <w:rFonts w:ascii="Helvetica" w:hAnsi="Helvetica"/>
                <w:sz w:val="22"/>
                <w:lang w:val="it-IT"/>
              </w:rPr>
            </w:pPr>
            <w:r w:rsidRPr="002857EF">
              <w:rPr>
                <w:rFonts w:ascii="Helvetica" w:hAnsi="Helvetica"/>
                <w:sz w:val="22"/>
                <w:lang w:val="it-IT"/>
              </w:rPr>
              <w:t>lato volo (</w:t>
            </w:r>
            <w:proofErr w:type="spellStart"/>
            <w:r w:rsidRPr="002857EF">
              <w:rPr>
                <w:rFonts w:ascii="Helvetica" w:hAnsi="Helvetica"/>
                <w:sz w:val="22"/>
                <w:lang w:val="it-IT"/>
              </w:rPr>
              <w:t>airside</w:t>
            </w:r>
            <w:proofErr w:type="spellEnd"/>
            <w:r w:rsidRPr="002857EF">
              <w:rPr>
                <w:rFonts w:ascii="Helvetica" w:hAnsi="Helvetica"/>
                <w:sz w:val="22"/>
                <w:lang w:val="it-IT"/>
              </w:rPr>
              <w:t>) esterno:</w:t>
            </w:r>
          </w:p>
          <w:p w14:paraId="72AC8C87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>area di movimento (esclusa l’area di manovra)</w:t>
            </w:r>
          </w:p>
          <w:p w14:paraId="60981452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>BHS</w:t>
            </w:r>
          </w:p>
          <w:p w14:paraId="4550829A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>hangar</w:t>
            </w:r>
          </w:p>
          <w:p w14:paraId="3CAF2E9A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>distaccamento dei Vigili del Fuoco</w:t>
            </w:r>
          </w:p>
          <w:p w14:paraId="279BAFED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>uffici lato volo</w:t>
            </w:r>
          </w:p>
          <w:p w14:paraId="1AB8D2BE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 xml:space="preserve">box container e magazzini vari in </w:t>
            </w:r>
            <w:proofErr w:type="spellStart"/>
            <w:r w:rsidRPr="002857EF">
              <w:rPr>
                <w:rFonts w:ascii="Helvetica" w:eastAsia="DengXian Light" w:hAnsi="Helvetica"/>
                <w:lang w:val="it-IT"/>
              </w:rPr>
              <w:t>airside</w:t>
            </w:r>
            <w:proofErr w:type="spellEnd"/>
          </w:p>
          <w:p w14:paraId="3F798CFA" w14:textId="77777777" w:rsidR="002857EF" w:rsidRPr="002857EF" w:rsidRDefault="002857EF" w:rsidP="002857EF">
            <w:pPr>
              <w:pStyle w:val="Paragrafoelenco"/>
              <w:numPr>
                <w:ilvl w:val="0"/>
                <w:numId w:val="20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>Perimetrale (sia interna che esterna- dal varco carraio fino al distaccamento dei cinofili P.S.-)</w:t>
            </w:r>
          </w:p>
        </w:tc>
      </w:tr>
      <w:tr w:rsidR="002857EF" w:rsidRPr="000C18DA" w14:paraId="5BC8D495" w14:textId="77777777" w:rsidTr="000C18DA">
        <w:trPr>
          <w:trHeight w:val="373"/>
          <w:jc w:val="center"/>
        </w:trPr>
        <w:tc>
          <w:tcPr>
            <w:tcW w:w="1500" w:type="dxa"/>
            <w:shd w:val="clear" w:color="auto" w:fill="00B0F0"/>
            <w:vAlign w:val="center"/>
          </w:tcPr>
          <w:p w14:paraId="7CB32E92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AZZURRO</w:t>
            </w:r>
          </w:p>
        </w:tc>
        <w:tc>
          <w:tcPr>
            <w:tcW w:w="5241" w:type="dxa"/>
            <w:vAlign w:val="center"/>
          </w:tcPr>
          <w:p w14:paraId="010E88EF" w14:textId="77777777" w:rsidR="002857EF" w:rsidRPr="002857EF" w:rsidRDefault="002857EF" w:rsidP="002857EF">
            <w:pPr>
              <w:pStyle w:val="Paragrafoelenco"/>
              <w:numPr>
                <w:ilvl w:val="0"/>
                <w:numId w:val="22"/>
              </w:numPr>
              <w:spacing w:after="60" w:line="240" w:lineRule="auto"/>
              <w:ind w:left="351" w:right="136"/>
              <w:rPr>
                <w:rFonts w:ascii="Helvetica" w:hAnsi="Helvetica"/>
                <w:sz w:val="22"/>
                <w:lang w:val="it-IT"/>
              </w:rPr>
            </w:pPr>
            <w:r w:rsidRPr="002857EF">
              <w:rPr>
                <w:rFonts w:ascii="Helvetica" w:hAnsi="Helvetica"/>
                <w:sz w:val="22"/>
                <w:lang w:val="it-IT"/>
              </w:rPr>
              <w:t>lato volo interno:</w:t>
            </w:r>
          </w:p>
          <w:p w14:paraId="25A7EFE6" w14:textId="77777777" w:rsidR="002857EF" w:rsidRPr="002857EF" w:rsidRDefault="002857EF" w:rsidP="002857EF">
            <w:pPr>
              <w:pStyle w:val="Paragrafoelenco"/>
              <w:numPr>
                <w:ilvl w:val="0"/>
                <w:numId w:val="22"/>
              </w:numPr>
              <w:tabs>
                <w:tab w:val="left" w:pos="389"/>
              </w:tabs>
              <w:spacing w:before="60" w:after="60" w:line="240" w:lineRule="auto"/>
              <w:ind w:left="351" w:right="136"/>
              <w:jc w:val="both"/>
              <w:rPr>
                <w:rFonts w:ascii="Helvetica" w:eastAsia="DengXian Light" w:hAnsi="Helvetica"/>
                <w:lang w:val="it-IT"/>
              </w:rPr>
            </w:pPr>
            <w:r w:rsidRPr="002857EF">
              <w:rPr>
                <w:rFonts w:ascii="Helvetica" w:eastAsia="DengXian Light" w:hAnsi="Helvetica"/>
                <w:lang w:val="it-IT"/>
              </w:rPr>
              <w:t xml:space="preserve">terminal partenze </w:t>
            </w:r>
            <w:proofErr w:type="spellStart"/>
            <w:r w:rsidRPr="002857EF">
              <w:rPr>
                <w:rFonts w:ascii="Helvetica" w:eastAsia="DengXian Light" w:hAnsi="Helvetica"/>
                <w:lang w:val="it-IT"/>
              </w:rPr>
              <w:t>airside</w:t>
            </w:r>
            <w:proofErr w:type="spellEnd"/>
            <w:r w:rsidRPr="002857EF">
              <w:rPr>
                <w:rFonts w:ascii="Helvetica" w:eastAsia="DengXian Light" w:hAnsi="Helvetica"/>
                <w:lang w:val="it-IT"/>
              </w:rPr>
              <w:t xml:space="preserve"> (sala imbarchi) </w:t>
            </w:r>
          </w:p>
          <w:p w14:paraId="36AB1170" w14:textId="77777777" w:rsidR="002857EF" w:rsidRPr="002857EF" w:rsidRDefault="002857EF" w:rsidP="002857EF">
            <w:pPr>
              <w:tabs>
                <w:tab w:val="left" w:pos="389"/>
              </w:tabs>
              <w:spacing w:before="60" w:after="60" w:line="240" w:lineRule="auto"/>
              <w:ind w:left="389" w:right="136"/>
              <w:contextualSpacing/>
              <w:jc w:val="both"/>
              <w:rPr>
                <w:rFonts w:ascii="Helvetica" w:eastAsia="DengXian Light" w:hAnsi="Helvetica"/>
                <w:lang w:val="it-IT"/>
              </w:rPr>
            </w:pPr>
          </w:p>
        </w:tc>
      </w:tr>
      <w:tr w:rsidR="002857EF" w:rsidRPr="002857EF" w14:paraId="39421BDF" w14:textId="77777777" w:rsidTr="000C18DA">
        <w:trPr>
          <w:trHeight w:val="126"/>
          <w:jc w:val="center"/>
        </w:trPr>
        <w:tc>
          <w:tcPr>
            <w:tcW w:w="1500" w:type="dxa"/>
            <w:vAlign w:val="center"/>
          </w:tcPr>
          <w:p w14:paraId="42904706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BIANCO</w:t>
            </w:r>
          </w:p>
        </w:tc>
        <w:tc>
          <w:tcPr>
            <w:tcW w:w="5241" w:type="dxa"/>
            <w:vAlign w:val="center"/>
          </w:tcPr>
          <w:p w14:paraId="3401846D" w14:textId="77777777" w:rsidR="002857EF" w:rsidRPr="002857EF" w:rsidRDefault="002857EF" w:rsidP="002857EF">
            <w:pPr>
              <w:spacing w:after="60" w:line="240" w:lineRule="auto"/>
              <w:ind w:right="136"/>
              <w:rPr>
                <w:rFonts w:ascii="Helvetica" w:hAnsi="Helvetica"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color w:val="262626"/>
                <w:sz w:val="22"/>
                <w:lang w:val="it-IT"/>
              </w:rPr>
              <w:t>accesso con scorta</w:t>
            </w:r>
          </w:p>
        </w:tc>
      </w:tr>
      <w:tr w:rsidR="002857EF" w:rsidRPr="002857EF" w14:paraId="485BC84F" w14:textId="77777777" w:rsidTr="000C18DA">
        <w:trPr>
          <w:trHeight w:val="122"/>
          <w:jc w:val="center"/>
        </w:trPr>
        <w:tc>
          <w:tcPr>
            <w:tcW w:w="1500" w:type="dxa"/>
            <w:shd w:val="clear" w:color="auto" w:fill="FFFF00"/>
            <w:vAlign w:val="center"/>
          </w:tcPr>
          <w:p w14:paraId="3833FE6C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GIALLO</w:t>
            </w:r>
          </w:p>
        </w:tc>
        <w:tc>
          <w:tcPr>
            <w:tcW w:w="5241" w:type="dxa"/>
            <w:vAlign w:val="center"/>
          </w:tcPr>
          <w:p w14:paraId="3DB448DB" w14:textId="77777777" w:rsidR="002857EF" w:rsidRPr="002857EF" w:rsidRDefault="002857EF" w:rsidP="002857EF">
            <w:pPr>
              <w:spacing w:after="60" w:line="240" w:lineRule="auto"/>
              <w:ind w:right="136"/>
              <w:rPr>
                <w:rFonts w:ascii="Helvetica" w:hAnsi="Helvetica"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color w:val="262626"/>
                <w:sz w:val="22"/>
                <w:lang w:val="it-IT"/>
              </w:rPr>
              <w:t>aree non sterili</w:t>
            </w:r>
          </w:p>
        </w:tc>
      </w:tr>
      <w:tr w:rsidR="002857EF" w:rsidRPr="002857EF" w14:paraId="1A13AE96" w14:textId="77777777" w:rsidTr="000C18DA">
        <w:trPr>
          <w:trHeight w:val="126"/>
          <w:jc w:val="center"/>
        </w:trPr>
        <w:tc>
          <w:tcPr>
            <w:tcW w:w="1500" w:type="dxa"/>
            <w:shd w:val="clear" w:color="auto" w:fill="FFC000"/>
            <w:vAlign w:val="center"/>
          </w:tcPr>
          <w:p w14:paraId="042054DF" w14:textId="77777777" w:rsidR="002857EF" w:rsidRPr="002857EF" w:rsidRDefault="002857EF" w:rsidP="002857EF">
            <w:pPr>
              <w:spacing w:after="60" w:line="240" w:lineRule="auto"/>
              <w:ind w:right="136"/>
              <w:jc w:val="center"/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b/>
                <w:bCs/>
                <w:color w:val="262626"/>
                <w:sz w:val="22"/>
                <w:lang w:val="it-IT"/>
              </w:rPr>
              <w:t>ARANCIONE</w:t>
            </w:r>
          </w:p>
        </w:tc>
        <w:tc>
          <w:tcPr>
            <w:tcW w:w="5241" w:type="dxa"/>
            <w:vAlign w:val="center"/>
          </w:tcPr>
          <w:p w14:paraId="67649E24" w14:textId="77777777" w:rsidR="002857EF" w:rsidRPr="002857EF" w:rsidRDefault="002857EF" w:rsidP="002857EF">
            <w:pPr>
              <w:spacing w:after="60" w:line="240" w:lineRule="auto"/>
              <w:ind w:right="136"/>
              <w:rPr>
                <w:rFonts w:ascii="Helvetica" w:hAnsi="Helvetica"/>
                <w:color w:val="262626"/>
                <w:sz w:val="22"/>
                <w:lang w:val="it-IT"/>
              </w:rPr>
            </w:pPr>
            <w:r w:rsidRPr="002857EF">
              <w:rPr>
                <w:rFonts w:ascii="Helvetica" w:hAnsi="Helvetica"/>
                <w:color w:val="262626"/>
                <w:sz w:val="22"/>
                <w:lang w:val="it-IT"/>
              </w:rPr>
              <w:t>diplomatici</w:t>
            </w:r>
          </w:p>
        </w:tc>
      </w:tr>
    </w:tbl>
    <w:p w14:paraId="12561A71" w14:textId="77777777" w:rsidR="002857EF" w:rsidRDefault="002857EF" w:rsidP="000E2ADD">
      <w:pPr>
        <w:widowControl/>
        <w:spacing w:after="0" w:line="240" w:lineRule="auto"/>
        <w:contextualSpacing/>
        <w:jc w:val="center"/>
        <w:rPr>
          <w:rFonts w:ascii="Calibri" w:hAnsi="Calibri"/>
          <w:b/>
          <w:color w:val="FF0000"/>
          <w:szCs w:val="20"/>
          <w:lang w:val="it-IT"/>
        </w:rPr>
      </w:pPr>
    </w:p>
    <w:p w14:paraId="3C688D53" w14:textId="379CB846" w:rsidR="000E2ADD" w:rsidRPr="000E2ADD" w:rsidRDefault="000E2ADD" w:rsidP="000E2ADD">
      <w:pPr>
        <w:widowControl/>
        <w:spacing w:after="0" w:line="240" w:lineRule="auto"/>
        <w:contextualSpacing/>
        <w:jc w:val="center"/>
        <w:rPr>
          <w:rFonts w:ascii="Calibri" w:hAnsi="Calibri"/>
          <w:szCs w:val="20"/>
          <w:lang w:val="it-IT"/>
        </w:rPr>
      </w:pPr>
      <w:r w:rsidRPr="000E2ADD">
        <w:rPr>
          <w:rFonts w:ascii="Calibri" w:hAnsi="Calibri"/>
          <w:b/>
          <w:color w:val="FF0000"/>
          <w:szCs w:val="20"/>
          <w:lang w:val="it-IT"/>
        </w:rPr>
        <w:t>PRINCIPALI EMERGENZE-CHI CONTATTARE</w:t>
      </w:r>
    </w:p>
    <w:tbl>
      <w:tblPr>
        <w:tblpPr w:leftFromText="141" w:rightFromText="141" w:vertAnchor="text" w:horzAnchor="margin" w:tblpXSpec="center" w:tblpY="592"/>
        <w:tblW w:w="68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375"/>
        <w:gridCol w:w="2202"/>
        <w:gridCol w:w="747"/>
        <w:gridCol w:w="1097"/>
      </w:tblGrid>
      <w:tr w:rsidR="000E2ADD" w:rsidRPr="000C18DA" w14:paraId="63D0BECD" w14:textId="77777777" w:rsidTr="000C18DA">
        <w:trPr>
          <w:trHeight w:val="386"/>
        </w:trPr>
        <w:tc>
          <w:tcPr>
            <w:tcW w:w="68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B89E2DB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 xml:space="preserve">Incendio – Sversamento carburante             Telefono                                              Interno           </w:t>
            </w:r>
            <w:proofErr w:type="spellStart"/>
            <w:r w:rsidRPr="000E2ADD">
              <w:rPr>
                <w:b/>
                <w:bCs/>
                <w:sz w:val="18"/>
                <w:szCs w:val="18"/>
              </w:rPr>
              <w:t>Freq</w:t>
            </w:r>
            <w:proofErr w:type="spellEnd"/>
            <w:r w:rsidRPr="000E2ADD">
              <w:rPr>
                <w:b/>
                <w:bCs/>
                <w:sz w:val="18"/>
                <w:szCs w:val="18"/>
              </w:rPr>
              <w:t xml:space="preserve">. radio         </w:t>
            </w:r>
          </w:p>
        </w:tc>
      </w:tr>
      <w:tr w:rsidR="001A2BC6" w:rsidRPr="000E2ADD" w14:paraId="756BFB5C" w14:textId="77777777" w:rsidTr="000C18DA">
        <w:trPr>
          <w:trHeight w:val="707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A34B71B" w14:textId="77777777" w:rsidR="000E2ADD" w:rsidRPr="000E2ADD" w:rsidRDefault="000E2ADD" w:rsidP="000E2ADD">
            <w:pPr>
              <w:pStyle w:val="Nessunaspaziatura"/>
              <w:contextualSpacing/>
              <w:jc w:val="center"/>
              <w:rPr>
                <w:sz w:val="18"/>
                <w:szCs w:val="18"/>
              </w:rPr>
            </w:pPr>
            <w:r w:rsidRPr="000E2ADD">
              <w:rPr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 wp14:anchorId="1930B7B0" wp14:editId="3964148A">
                  <wp:extent cx="1047750" cy="793750"/>
                  <wp:effectExtent l="0" t="0" r="0" b="6350"/>
                  <wp:docPr id="36" name="irc_mi" descr="http://www.camionistionline.com/wp-content/uploads/2013/07/incendio-icon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mionistionline.com/wp-content/uploads/2013/07/incendio-icon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3617195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VVF </w:t>
            </w:r>
          </w:p>
          <w:p w14:paraId="3C4F34C0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CENTRALINO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5A77880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071 2075319</w:t>
            </w:r>
          </w:p>
          <w:p w14:paraId="44C69CAB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071 2827245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275219E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245</w:t>
            </w:r>
            <w:r w:rsidRPr="000E2A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297678B" w14:textId="77777777" w:rsidR="000E2ADD" w:rsidRPr="000E2ADD" w:rsidRDefault="000E2ADD" w:rsidP="000E2ADD">
            <w:pPr>
              <w:pStyle w:val="Nessunaspaziatura"/>
              <w:contextualSpacing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440.725 </w:t>
            </w:r>
          </w:p>
        </w:tc>
      </w:tr>
      <w:tr w:rsidR="001A2BC6" w:rsidRPr="000E2ADD" w14:paraId="1A4FB4B1" w14:textId="77777777" w:rsidTr="000C18DA">
        <w:trPr>
          <w:trHeight w:val="675"/>
        </w:trPr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A96FDA5" w14:textId="77777777" w:rsidR="000E2ADD" w:rsidRPr="000E2ADD" w:rsidRDefault="000E2ADD" w:rsidP="00671234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D8D7B49" w14:textId="131AD83E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Ancona International Airport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7BF58EA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071 2827202 (Ufficio operativo)</w:t>
            </w:r>
          </w:p>
          <w:p w14:paraId="62C2E817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071 2827507 (Caposcalo)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A4EA773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202</w:t>
            </w:r>
            <w:r w:rsidRPr="000E2ADD">
              <w:rPr>
                <w:sz w:val="18"/>
                <w:szCs w:val="18"/>
              </w:rPr>
              <w:t xml:space="preserve">   502 </w:t>
            </w:r>
          </w:p>
          <w:p w14:paraId="667AD299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507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0EE2009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440.725 </w:t>
            </w:r>
          </w:p>
        </w:tc>
      </w:tr>
      <w:tr w:rsidR="000E2ADD" w:rsidRPr="000E2ADD" w14:paraId="17950A40" w14:textId="77777777" w:rsidTr="000C18DA">
        <w:trPr>
          <w:trHeight w:val="274"/>
        </w:trPr>
        <w:tc>
          <w:tcPr>
            <w:tcW w:w="68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ED39F59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Infortunio/malore</w:t>
            </w:r>
          </w:p>
        </w:tc>
      </w:tr>
      <w:tr w:rsidR="001A2BC6" w:rsidRPr="000E2ADD" w14:paraId="2C23807D" w14:textId="77777777" w:rsidTr="000C18DA">
        <w:trPr>
          <w:trHeight w:val="941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BB708E6" w14:textId="77777777" w:rsidR="000E2ADD" w:rsidRPr="000E2ADD" w:rsidRDefault="000E2ADD" w:rsidP="00671234">
            <w:pPr>
              <w:spacing w:after="180" w:line="240" w:lineRule="auto"/>
              <w:ind w:left="360"/>
              <w:rPr>
                <w:sz w:val="18"/>
                <w:szCs w:val="18"/>
              </w:rPr>
            </w:pPr>
          </w:p>
          <w:p w14:paraId="47DD3C9E" w14:textId="77777777" w:rsidR="000E2ADD" w:rsidRPr="000E2ADD" w:rsidRDefault="000E2ADD" w:rsidP="00671234">
            <w:pPr>
              <w:spacing w:after="180" w:line="240" w:lineRule="auto"/>
              <w:ind w:left="360"/>
              <w:rPr>
                <w:sz w:val="18"/>
                <w:szCs w:val="18"/>
              </w:rPr>
            </w:pPr>
            <w:r w:rsidRPr="000E2ADD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 wp14:anchorId="0B81356F" wp14:editId="7A9366F3">
                  <wp:extent cx="748831" cy="577850"/>
                  <wp:effectExtent l="0" t="0" r="0" b="0"/>
                  <wp:docPr id="37" name="Immagine 64" descr="https://encrypted-tbn1.gstatic.com/images?q=tbn:ANd9GcRH9vy6y02pok7Lkta6-eBydU4n5i82xzB3Py4khNTnLfeYDF8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ncrypted-tbn1.gstatic.com/images?q=tbn:ANd9GcRH9vy6y02pok7Lkta6-eBydU4n5i82xzB3Py4khNTnLfeYDF8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50" cy="58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D6B43CE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PRONTO SOCCORSO AEROPORTUALE 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714F779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071 2827228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A66BB4B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228</w:t>
            </w:r>
            <w:r w:rsidRPr="000E2A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22BFA06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440.725 </w:t>
            </w:r>
          </w:p>
        </w:tc>
      </w:tr>
      <w:tr w:rsidR="001A2BC6" w:rsidRPr="000E2ADD" w14:paraId="5AB2739D" w14:textId="77777777" w:rsidTr="000C18DA">
        <w:trPr>
          <w:trHeight w:val="497"/>
        </w:trPr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904F9C0" w14:textId="77777777" w:rsidR="000E2ADD" w:rsidRPr="000E2ADD" w:rsidRDefault="000E2ADD" w:rsidP="00671234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EEE1962" w14:textId="691650F7" w:rsidR="000E2ADD" w:rsidRPr="000E2ADD" w:rsidRDefault="000E2ADD" w:rsidP="001A2BC6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Ancona International Airport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F50AE41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071 2827202 (Ufficio operativo)</w:t>
            </w:r>
          </w:p>
          <w:p w14:paraId="2539AB96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071 2827507 (Caposcalo)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0786745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202</w:t>
            </w:r>
            <w:r w:rsidRPr="000E2ADD">
              <w:rPr>
                <w:sz w:val="18"/>
                <w:szCs w:val="18"/>
              </w:rPr>
              <w:t xml:space="preserve">    502 </w:t>
            </w:r>
          </w:p>
          <w:p w14:paraId="161E8A60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507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CAF4338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440.725 </w:t>
            </w:r>
          </w:p>
        </w:tc>
      </w:tr>
      <w:tr w:rsidR="000E2ADD" w:rsidRPr="000C18DA" w14:paraId="220712C3" w14:textId="77777777" w:rsidTr="000C18DA">
        <w:trPr>
          <w:trHeight w:val="318"/>
        </w:trPr>
        <w:tc>
          <w:tcPr>
            <w:tcW w:w="68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B0A37B0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Minacce alla sicurezza (Bagaglio abbandonato, telefonate anonime, notizie di reato…)</w:t>
            </w:r>
          </w:p>
        </w:tc>
      </w:tr>
      <w:tr w:rsidR="001A2BC6" w:rsidRPr="000E2ADD" w14:paraId="02843FA5" w14:textId="77777777" w:rsidTr="000C18DA">
        <w:trPr>
          <w:trHeight w:val="470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46782AF" w14:textId="77777777" w:rsidR="000E2ADD" w:rsidRPr="000E2ADD" w:rsidRDefault="000E2ADD" w:rsidP="00671234">
            <w:pPr>
              <w:pStyle w:val="Nessunaspaziatura"/>
              <w:jc w:val="center"/>
              <w:rPr>
                <w:sz w:val="18"/>
                <w:szCs w:val="18"/>
              </w:rPr>
            </w:pPr>
            <w:r w:rsidRPr="000E2ADD">
              <w:rPr>
                <w:noProof/>
                <w:color w:val="0000FF"/>
                <w:sz w:val="18"/>
                <w:szCs w:val="18"/>
                <w:lang w:eastAsia="it-IT"/>
              </w:rPr>
              <w:drawing>
                <wp:inline distT="0" distB="0" distL="0" distR="0" wp14:anchorId="48F371E6" wp14:editId="676831E1">
                  <wp:extent cx="692785" cy="787400"/>
                  <wp:effectExtent l="0" t="0" r="0" b="0"/>
                  <wp:docPr id="38" name="irc_mi" descr="http://comps.canstockphoto.fr/can-stock-photo_csp13575279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mps.canstockphoto.fr/can-stock-photo_csp13575279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68" cy="78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20D1DC3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POLARIA 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C3B7F6F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071 9188058</w:t>
            </w:r>
          </w:p>
          <w:p w14:paraId="319484A4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071 2827227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9B14DB6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227</w:t>
            </w:r>
            <w:r w:rsidRPr="000E2A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1FF198F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440.725 </w:t>
            </w:r>
          </w:p>
        </w:tc>
      </w:tr>
      <w:tr w:rsidR="001A2BC6" w:rsidRPr="000E2ADD" w14:paraId="37497C42" w14:textId="77777777" w:rsidTr="000C18DA">
        <w:trPr>
          <w:trHeight w:val="952"/>
        </w:trPr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68A555D" w14:textId="77777777" w:rsidR="000E2ADD" w:rsidRPr="000E2ADD" w:rsidRDefault="000E2ADD" w:rsidP="00671234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23F9A203" w14:textId="46CCB84E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>Ancona International Airport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AC913AC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071 2827202 071 2827507 </w:t>
            </w:r>
          </w:p>
          <w:p w14:paraId="4F048B5E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071 2827314 071 2827514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C6385D6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b/>
                <w:bCs/>
                <w:sz w:val="18"/>
                <w:szCs w:val="18"/>
              </w:rPr>
              <w:t>202</w:t>
            </w:r>
            <w:r w:rsidRPr="000E2ADD">
              <w:rPr>
                <w:sz w:val="18"/>
                <w:szCs w:val="18"/>
              </w:rPr>
              <w:t xml:space="preserve">   507 </w:t>
            </w:r>
          </w:p>
          <w:p w14:paraId="11126A24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314   514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A7EA340" w14:textId="77777777" w:rsidR="000E2ADD" w:rsidRPr="000E2ADD" w:rsidRDefault="000E2ADD" w:rsidP="00671234">
            <w:pPr>
              <w:pStyle w:val="Nessunaspaziatura"/>
              <w:rPr>
                <w:sz w:val="18"/>
                <w:szCs w:val="18"/>
              </w:rPr>
            </w:pPr>
            <w:r w:rsidRPr="000E2ADD">
              <w:rPr>
                <w:sz w:val="18"/>
                <w:szCs w:val="18"/>
              </w:rPr>
              <w:t xml:space="preserve">440.725 </w:t>
            </w:r>
          </w:p>
        </w:tc>
      </w:tr>
    </w:tbl>
    <w:p w14:paraId="13A5C1B1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16B2BFC5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0924B8F0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4726E0A5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3C9D306C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39286FED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35373961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15CCEF7B" w14:textId="77777777" w:rsidR="002857EF" w:rsidRDefault="002857EF" w:rsidP="00006BC2">
      <w:pPr>
        <w:rPr>
          <w:rFonts w:cs="Tahoma"/>
          <w:bCs/>
          <w:sz w:val="18"/>
          <w:szCs w:val="18"/>
          <w:lang w:val="it-IT"/>
        </w:rPr>
      </w:pPr>
    </w:p>
    <w:p w14:paraId="4612F291" w14:textId="77777777" w:rsidR="000E2ADD" w:rsidRDefault="000E2ADD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276928AE" w14:textId="77777777" w:rsidR="000E2ADD" w:rsidRDefault="000E2ADD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28A4E5FD" w14:textId="77777777" w:rsidR="000E2ADD" w:rsidRDefault="000E2ADD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01ABB9C3" w14:textId="77777777" w:rsidR="000E2ADD" w:rsidRDefault="000E2ADD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4F6C019E" w14:textId="77777777" w:rsidR="000E2ADD" w:rsidRDefault="000E2ADD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0063931F" w14:textId="77777777" w:rsidR="00FC1CC7" w:rsidRDefault="00FC1CC7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7FE8821A" w14:textId="77777777" w:rsidR="00FC1CC7" w:rsidRDefault="00FC1CC7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038153A1" w14:textId="77777777" w:rsidR="00FC1CC7" w:rsidRDefault="00FC1CC7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188A3253" w14:textId="77777777" w:rsidR="00FC1CC7" w:rsidRDefault="00FC1CC7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4AA42B7A" w14:textId="77777777" w:rsidR="00FC1CC7" w:rsidRDefault="00FC1CC7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p w14:paraId="762D496B" w14:textId="77777777" w:rsidR="00FC1CC7" w:rsidRDefault="00FC1CC7" w:rsidP="00630F37">
      <w:pPr>
        <w:widowControl/>
        <w:tabs>
          <w:tab w:val="left" w:pos="284"/>
          <w:tab w:val="left" w:pos="709"/>
          <w:tab w:val="left" w:pos="1418"/>
        </w:tabs>
        <w:spacing w:after="0" w:line="240" w:lineRule="auto"/>
        <w:ind w:left="1418" w:right="-6" w:hanging="1418"/>
        <w:jc w:val="both"/>
        <w:rPr>
          <w:rFonts w:ascii="Arial" w:eastAsia="Arial" w:hAnsi="Arial" w:cs="Arial"/>
          <w:sz w:val="22"/>
          <w:lang w:val="it-IT"/>
        </w:rPr>
      </w:pPr>
    </w:p>
    <w:sectPr w:rsidR="00FC1CC7" w:rsidSect="001A2BC6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altName w:val="Tahoma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37"/>
    <w:multiLevelType w:val="hybridMultilevel"/>
    <w:tmpl w:val="00481C50"/>
    <w:lvl w:ilvl="0" w:tplc="C226D09C">
      <w:start w:val="1"/>
      <w:numFmt w:val="bullet"/>
      <w:lvlText w:val="-"/>
      <w:lvlJc w:val="left"/>
      <w:pPr>
        <w:ind w:left="1474" w:hanging="360"/>
      </w:pPr>
      <w:rPr>
        <w:rFonts w:ascii="Simplified Arabic Fixed" w:hAnsi="Simplified Arabic Fixed" w:hint="default"/>
        <w:w w:val="9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103D"/>
    <w:multiLevelType w:val="multilevel"/>
    <w:tmpl w:val="15A01212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287211"/>
    <w:multiLevelType w:val="hybridMultilevel"/>
    <w:tmpl w:val="7F60F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2364"/>
    <w:multiLevelType w:val="multilevel"/>
    <w:tmpl w:val="E196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615029"/>
    <w:multiLevelType w:val="hybridMultilevel"/>
    <w:tmpl w:val="FE98C33C"/>
    <w:lvl w:ilvl="0" w:tplc="C226D09C">
      <w:start w:val="1"/>
      <w:numFmt w:val="bullet"/>
      <w:lvlText w:val="-"/>
      <w:lvlJc w:val="left"/>
      <w:pPr>
        <w:ind w:left="1474" w:hanging="360"/>
      </w:pPr>
      <w:rPr>
        <w:rFonts w:ascii="Simplified Arabic Fixed" w:hAnsi="Simplified Arabic Fixed" w:hint="default"/>
        <w:w w:val="9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A6A00"/>
    <w:multiLevelType w:val="hybridMultilevel"/>
    <w:tmpl w:val="5CB4CE38"/>
    <w:lvl w:ilvl="0" w:tplc="C226D0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w w:val="9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577C"/>
    <w:multiLevelType w:val="multilevel"/>
    <w:tmpl w:val="D948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B9120E"/>
    <w:multiLevelType w:val="multilevel"/>
    <w:tmpl w:val="7A76729C"/>
    <w:lvl w:ilvl="0">
      <w:start w:val="5"/>
      <w:numFmt w:val="decimal"/>
      <w:lvlText w:val="%1"/>
      <w:lvlJc w:val="left"/>
      <w:pPr>
        <w:ind w:left="1006" w:hanging="41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6" w:hanging="415"/>
      </w:pPr>
      <w:rPr>
        <w:rFonts w:ascii="Tahoma" w:eastAsia="Tahoma" w:hAnsi="Tahoma" w:cs="Tahoma" w:hint="default"/>
        <w:b/>
        <w:bCs/>
        <w:color w:val="80000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214" w:hanging="623"/>
        <w:jc w:val="right"/>
      </w:pPr>
      <w:rPr>
        <w:rFonts w:ascii="Tahoma" w:eastAsia="Tahoma" w:hAnsi="Tahoma" w:cs="Tahoma" w:hint="default"/>
        <w:b/>
        <w:bCs/>
        <w:color w:val="800000"/>
        <w:spacing w:val="-2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1652" w:hanging="1181"/>
      </w:pPr>
      <w:rPr>
        <w:rFonts w:ascii="Verdana" w:eastAsia="Tahoma" w:hAnsi="Verdana" w:cs="Tahoma" w:hint="default"/>
        <w:b/>
        <w:bCs/>
        <w:color w:val="800000"/>
        <w:spacing w:val="-2"/>
        <w:w w:val="100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830" w:hanging="11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15" w:hanging="11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11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5" w:hanging="11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70" w:hanging="1181"/>
      </w:pPr>
      <w:rPr>
        <w:rFonts w:hint="default"/>
        <w:lang w:val="it-IT" w:eastAsia="en-US" w:bidi="ar-SA"/>
      </w:rPr>
    </w:lvl>
  </w:abstractNum>
  <w:abstractNum w:abstractNumId="8" w15:restartNumberingAfterBreak="0">
    <w:nsid w:val="529A1AAA"/>
    <w:multiLevelType w:val="hybridMultilevel"/>
    <w:tmpl w:val="D8B88C6C"/>
    <w:lvl w:ilvl="0" w:tplc="C226D09C">
      <w:start w:val="1"/>
      <w:numFmt w:val="bullet"/>
      <w:lvlText w:val="-"/>
      <w:lvlJc w:val="left"/>
      <w:pPr>
        <w:ind w:left="1474" w:hanging="360"/>
      </w:pPr>
      <w:rPr>
        <w:rFonts w:ascii="Simplified Arabic Fixed" w:hAnsi="Simplified Arabic Fixed" w:hint="default"/>
        <w:w w:val="92"/>
      </w:rPr>
    </w:lvl>
    <w:lvl w:ilvl="1" w:tplc="0410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" w15:restartNumberingAfterBreak="0">
    <w:nsid w:val="557657A6"/>
    <w:multiLevelType w:val="multilevel"/>
    <w:tmpl w:val="A76C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355883"/>
    <w:multiLevelType w:val="multilevel"/>
    <w:tmpl w:val="979E2C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EFD20F1"/>
    <w:multiLevelType w:val="multilevel"/>
    <w:tmpl w:val="2080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0F11F59"/>
    <w:multiLevelType w:val="hybridMultilevel"/>
    <w:tmpl w:val="8ACC4250"/>
    <w:lvl w:ilvl="0" w:tplc="0410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3" w15:restartNumberingAfterBreak="0">
    <w:nsid w:val="71267E2A"/>
    <w:multiLevelType w:val="multilevel"/>
    <w:tmpl w:val="1E96D6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2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C227671"/>
    <w:multiLevelType w:val="multilevel"/>
    <w:tmpl w:val="5866DA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12699532">
    <w:abstractNumId w:val="10"/>
  </w:num>
  <w:num w:numId="2" w16cid:durableId="680818632">
    <w:abstractNumId w:val="10"/>
  </w:num>
  <w:num w:numId="3" w16cid:durableId="312491203">
    <w:abstractNumId w:val="10"/>
  </w:num>
  <w:num w:numId="4" w16cid:durableId="1416130963">
    <w:abstractNumId w:val="10"/>
  </w:num>
  <w:num w:numId="5" w16cid:durableId="1180586771">
    <w:abstractNumId w:val="3"/>
  </w:num>
  <w:num w:numId="6" w16cid:durableId="1209418979">
    <w:abstractNumId w:val="10"/>
  </w:num>
  <w:num w:numId="7" w16cid:durableId="771630247">
    <w:abstractNumId w:val="7"/>
  </w:num>
  <w:num w:numId="8" w16cid:durableId="675036679">
    <w:abstractNumId w:val="1"/>
  </w:num>
  <w:num w:numId="9" w16cid:durableId="1062828186">
    <w:abstractNumId w:val="9"/>
  </w:num>
  <w:num w:numId="10" w16cid:durableId="1179544898">
    <w:abstractNumId w:val="14"/>
  </w:num>
  <w:num w:numId="11" w16cid:durableId="804271700">
    <w:abstractNumId w:val="14"/>
  </w:num>
  <w:num w:numId="12" w16cid:durableId="363871471">
    <w:abstractNumId w:val="14"/>
  </w:num>
  <w:num w:numId="13" w16cid:durableId="657423435">
    <w:abstractNumId w:val="11"/>
  </w:num>
  <w:num w:numId="14" w16cid:durableId="1206257021">
    <w:abstractNumId w:val="13"/>
  </w:num>
  <w:num w:numId="15" w16cid:durableId="1991211903">
    <w:abstractNumId w:val="13"/>
  </w:num>
  <w:num w:numId="16" w16cid:durableId="740904923">
    <w:abstractNumId w:val="6"/>
  </w:num>
  <w:num w:numId="17" w16cid:durableId="225337737">
    <w:abstractNumId w:val="8"/>
  </w:num>
  <w:num w:numId="18" w16cid:durableId="793791543">
    <w:abstractNumId w:val="12"/>
  </w:num>
  <w:num w:numId="19" w16cid:durableId="1564637014">
    <w:abstractNumId w:val="0"/>
  </w:num>
  <w:num w:numId="20" w16cid:durableId="1596091586">
    <w:abstractNumId w:val="4"/>
  </w:num>
  <w:num w:numId="21" w16cid:durableId="1855798910">
    <w:abstractNumId w:val="2"/>
  </w:num>
  <w:num w:numId="22" w16cid:durableId="1093550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C2"/>
    <w:rsid w:val="00006BC2"/>
    <w:rsid w:val="0002501D"/>
    <w:rsid w:val="0005030E"/>
    <w:rsid w:val="000C18DA"/>
    <w:rsid w:val="000E2ADD"/>
    <w:rsid w:val="001207E1"/>
    <w:rsid w:val="001A2BC6"/>
    <w:rsid w:val="002857EF"/>
    <w:rsid w:val="0039346C"/>
    <w:rsid w:val="003B515C"/>
    <w:rsid w:val="00422107"/>
    <w:rsid w:val="00541896"/>
    <w:rsid w:val="00566D9C"/>
    <w:rsid w:val="00630F37"/>
    <w:rsid w:val="00693A7E"/>
    <w:rsid w:val="00745833"/>
    <w:rsid w:val="00A27021"/>
    <w:rsid w:val="00A60D6D"/>
    <w:rsid w:val="00AD3555"/>
    <w:rsid w:val="00C47A5A"/>
    <w:rsid w:val="00D87598"/>
    <w:rsid w:val="00DA452E"/>
    <w:rsid w:val="00F06294"/>
    <w:rsid w:val="00F51643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F9F"/>
  <w15:chartTrackingRefBased/>
  <w15:docId w15:val="{368A88A6-ABE0-4A8E-BBE0-97E03C5D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BC2"/>
    <w:pPr>
      <w:widowControl w:val="0"/>
      <w:spacing w:after="200" w:line="276" w:lineRule="auto"/>
    </w:pPr>
    <w:rPr>
      <w:rFonts w:ascii="Tahoma" w:eastAsia="Calibri" w:hAnsi="Tahoma" w:cs="Times New Roman"/>
      <w:kern w:val="0"/>
      <w:sz w:val="20"/>
      <w:lang w:val="en-US"/>
      <w14:ligatures w14:val="none"/>
    </w:rPr>
  </w:style>
  <w:style w:type="paragraph" w:styleId="Titolo1">
    <w:name w:val="heading 1"/>
    <w:basedOn w:val="Normale"/>
    <w:link w:val="Titolo1Carattere"/>
    <w:autoRedefine/>
    <w:uiPriority w:val="1"/>
    <w:qFormat/>
    <w:rsid w:val="00AD3555"/>
    <w:pPr>
      <w:autoSpaceDE w:val="0"/>
      <w:autoSpaceDN w:val="0"/>
      <w:spacing w:before="240" w:after="240" w:line="240" w:lineRule="auto"/>
      <w:jc w:val="both"/>
      <w:outlineLvl w:val="0"/>
    </w:pPr>
    <w:rPr>
      <w:rFonts w:ascii="Verdana" w:eastAsia="Algerian" w:hAnsi="Verdana" w:cs="Algerian"/>
      <w:b/>
      <w:caps/>
      <w:sz w:val="24"/>
      <w:szCs w:val="72"/>
    </w:rPr>
  </w:style>
  <w:style w:type="paragraph" w:styleId="Titolo2">
    <w:name w:val="heading 2"/>
    <w:basedOn w:val="Normale"/>
    <w:link w:val="Titolo2Carattere"/>
    <w:autoRedefine/>
    <w:uiPriority w:val="1"/>
    <w:unhideWhenUsed/>
    <w:qFormat/>
    <w:rsid w:val="00F06294"/>
    <w:pPr>
      <w:numPr>
        <w:ilvl w:val="3"/>
        <w:numId w:val="15"/>
      </w:numPr>
      <w:autoSpaceDE w:val="0"/>
      <w:autoSpaceDN w:val="0"/>
      <w:spacing w:before="3" w:after="120" w:line="240" w:lineRule="auto"/>
      <w:jc w:val="both"/>
      <w:outlineLvl w:val="1"/>
    </w:pPr>
    <w:rPr>
      <w:rFonts w:ascii="Verdana" w:eastAsia="Tahoma" w:hAnsi="Verdana" w:cs="Arial"/>
      <w:b/>
    </w:rPr>
  </w:style>
  <w:style w:type="paragraph" w:styleId="Titolo3">
    <w:name w:val="heading 3"/>
    <w:basedOn w:val="Titolo2"/>
    <w:link w:val="Titolo3Carattere"/>
    <w:autoRedefine/>
    <w:uiPriority w:val="9"/>
    <w:unhideWhenUsed/>
    <w:qFormat/>
    <w:rsid w:val="00A27021"/>
    <w:pPr>
      <w:numPr>
        <w:ilvl w:val="0"/>
        <w:numId w:val="0"/>
      </w:numPr>
      <w:jc w:val="center"/>
      <w:outlineLvl w:val="2"/>
    </w:pPr>
    <w:rPr>
      <w:sz w:val="16"/>
      <w:szCs w:val="16"/>
      <w:lang w:eastAsia="it-IT" w:bidi="it-IT"/>
    </w:rPr>
  </w:style>
  <w:style w:type="paragraph" w:styleId="Titolo4">
    <w:name w:val="heading 4"/>
    <w:basedOn w:val="Normale"/>
    <w:link w:val="Titolo4Carattere"/>
    <w:autoRedefine/>
    <w:uiPriority w:val="9"/>
    <w:unhideWhenUsed/>
    <w:qFormat/>
    <w:rsid w:val="00F06294"/>
    <w:pPr>
      <w:numPr>
        <w:ilvl w:val="3"/>
        <w:numId w:val="12"/>
      </w:numPr>
      <w:autoSpaceDE w:val="0"/>
      <w:autoSpaceDN w:val="0"/>
      <w:spacing w:after="120" w:line="240" w:lineRule="auto"/>
      <w:outlineLvl w:val="3"/>
    </w:pPr>
    <w:rPr>
      <w:rFonts w:ascii="Verdana" w:eastAsia="Tahoma" w:hAnsi="Verdana" w:cs="Tahoma"/>
      <w:b/>
      <w:bCs/>
      <w:sz w:val="1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06294"/>
    <w:rPr>
      <w:rFonts w:ascii="Verdana" w:eastAsia="Algerian" w:hAnsi="Verdana" w:cs="Algerian"/>
      <w:b/>
      <w:caps/>
      <w:sz w:val="24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06294"/>
    <w:rPr>
      <w:rFonts w:ascii="Verdana" w:eastAsia="Tahoma" w:hAnsi="Verdana" w:cs="Arial"/>
      <w:b/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7021"/>
    <w:rPr>
      <w:rFonts w:ascii="Verdana" w:eastAsia="Tahoma" w:hAnsi="Verdana" w:cs="Arial"/>
      <w:b/>
      <w:kern w:val="0"/>
      <w:sz w:val="16"/>
      <w:szCs w:val="16"/>
      <w:lang w:val="en-US"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06294"/>
    <w:rPr>
      <w:rFonts w:ascii="Verdana" w:eastAsia="Tahoma" w:hAnsi="Verdana" w:cs="Tahoma"/>
      <w:b/>
      <w:bCs/>
      <w:sz w:val="16"/>
      <w:szCs w:val="23"/>
    </w:rPr>
  </w:style>
  <w:style w:type="paragraph" w:styleId="Paragrafoelenco">
    <w:name w:val="List Paragraph"/>
    <w:basedOn w:val="Normale"/>
    <w:uiPriority w:val="34"/>
    <w:qFormat/>
    <w:rsid w:val="00006B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3A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A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3A7E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0E2ADD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qFormat/>
    <w:rsid w:val="002857E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camionistionline.com/sestri-levante-camionista-ustionato-dopo-incendio-camion/&amp;ei=alqWVde2F4X3UMzvgtAM&amp;psig=AFQjCNGPAzrVcvf8vd5yyR4WMAy37zEDYQ&amp;ust=1436003297302763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it/url?sa=i&amp;rct=j&amp;q=&amp;esrc=s&amp;source=images&amp;cd=&amp;cad=rja&amp;uact=8&amp;ved=0CAcQjRw&amp;url=http://www.canstockphoto.fr/dessin-anim%C3%A9-bombe-13575279.html&amp;ei=8FqWVa64FMyvUdPUjNAI&amp;psig=AFQjCNHmA33ONmwAqn1uBa09JxF2qIUwwQ&amp;ust=1436003434859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cona-airport.com/normativa%20aeroportual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source=images&amp;cd=&amp;cad=rja&amp;uact=8&amp;ved=&amp;url=http://www.dreamstime.com/royalty-free-stock-images-man-slipping-icon-image7710999&amp;ei=bFuWVffSIIfVywOz-ojgAw&amp;psig=AFQjCNEIs4PaKAKgsPqHyE03mfRpkWHeQg&amp;ust=14360035648534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Cardinali Francesco - Aerdorica S.p.A.</dc:creator>
  <cp:keywords/>
  <dc:description/>
  <cp:lastModifiedBy>Cerasa Laura - Aerdorica S.p.A.</cp:lastModifiedBy>
  <cp:revision>2</cp:revision>
  <dcterms:created xsi:type="dcterms:W3CDTF">2023-05-26T09:00:00Z</dcterms:created>
  <dcterms:modified xsi:type="dcterms:W3CDTF">2023-05-26T09:00:00Z</dcterms:modified>
</cp:coreProperties>
</file>